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9B" w:rsidRDefault="0010139B" w:rsidP="0010139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52"/>
          <w:szCs w:val="52"/>
        </w:rPr>
      </w:pPr>
      <w:r>
        <w:rPr>
          <w:rFonts w:ascii="Cambria" w:hAnsi="Cambria" w:cs="Cambria"/>
          <w:color w:val="17365D"/>
          <w:sz w:val="52"/>
          <w:szCs w:val="52"/>
        </w:rPr>
        <w:t>Accreditation Mentorship Program</w:t>
      </w:r>
    </w:p>
    <w:p w:rsidR="0010139B" w:rsidRPr="0010139B" w:rsidRDefault="0010139B" w:rsidP="0010139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24"/>
          <w:szCs w:val="24"/>
        </w:rPr>
      </w:pPr>
    </w:p>
    <w:p w:rsidR="00D727E4" w:rsidRDefault="0010139B" w:rsidP="00321A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Washington Association of Sheriffs and Police Chiefs </w:t>
      </w:r>
      <w:r w:rsidR="00DD0433"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z w:val="24"/>
          <w:szCs w:val="24"/>
        </w:rPr>
        <w:t xml:space="preserve"> created a mentor program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designed to assist </w:t>
      </w:r>
      <w:r w:rsidR="00E67F95">
        <w:rPr>
          <w:rFonts w:ascii="Calibri" w:hAnsi="Calibri" w:cs="Calibri"/>
          <w:color w:val="000000"/>
          <w:sz w:val="24"/>
          <w:szCs w:val="24"/>
        </w:rPr>
        <w:t xml:space="preserve">accreditation managers with implementation and management of the </w:t>
      </w:r>
      <w:r>
        <w:rPr>
          <w:rFonts w:ascii="Calibri" w:hAnsi="Calibri" w:cs="Calibri"/>
          <w:color w:val="000000"/>
          <w:sz w:val="24"/>
          <w:szCs w:val="24"/>
        </w:rPr>
        <w:t xml:space="preserve">WASPC accreditation </w:t>
      </w:r>
      <w:r w:rsidR="00DD0433">
        <w:rPr>
          <w:rFonts w:ascii="Calibri" w:hAnsi="Calibri" w:cs="Calibri"/>
          <w:color w:val="000000"/>
          <w:sz w:val="24"/>
          <w:szCs w:val="24"/>
        </w:rPr>
        <w:t>program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="00DD043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D727E4">
        <w:rPr>
          <w:rFonts w:ascii="Calibri" w:hAnsi="Calibri" w:cs="Calibri"/>
          <w:color w:val="000000"/>
          <w:sz w:val="24"/>
          <w:szCs w:val="24"/>
        </w:rPr>
        <w:t xml:space="preserve">This is a program free of cost to agencies seeking accreditation through WASPC. </w:t>
      </w:r>
      <w:r w:rsidR="00436216">
        <w:rPr>
          <w:rFonts w:ascii="Calibri" w:hAnsi="Calibri" w:cs="Calibri"/>
          <w:color w:val="000000"/>
          <w:sz w:val="24"/>
          <w:szCs w:val="24"/>
        </w:rPr>
        <w:t>The m</w:t>
      </w:r>
      <w:r w:rsidR="00DD0433">
        <w:rPr>
          <w:rFonts w:ascii="Calibri" w:hAnsi="Calibri" w:cs="Calibri"/>
          <w:color w:val="000000"/>
          <w:sz w:val="24"/>
          <w:szCs w:val="24"/>
        </w:rPr>
        <w:t xml:space="preserve">entoring program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designed to enable agencies wishing to pursue WASPC accreditation the opportunity to spend time with a designated accreditation mentor, prior to</w:t>
      </w:r>
      <w:r w:rsidR="002E149D">
        <w:rPr>
          <w:rFonts w:ascii="Calibri" w:hAnsi="Calibri" w:cs="Calibri"/>
          <w:color w:val="000000"/>
          <w:sz w:val="24"/>
          <w:szCs w:val="24"/>
        </w:rPr>
        <w:t xml:space="preserve"> and during</w:t>
      </w:r>
      <w:r>
        <w:rPr>
          <w:rFonts w:ascii="Calibri" w:hAnsi="Calibri" w:cs="Calibri"/>
          <w:color w:val="000000"/>
          <w:sz w:val="24"/>
          <w:szCs w:val="24"/>
        </w:rPr>
        <w:t xml:space="preserve"> the accreditation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process. </w:t>
      </w:r>
      <w:r w:rsidR="00436216">
        <w:rPr>
          <w:rFonts w:ascii="Calibri" w:hAnsi="Calibri" w:cs="Calibri"/>
          <w:color w:val="000000"/>
          <w:sz w:val="24"/>
          <w:szCs w:val="24"/>
        </w:rPr>
        <w:t>All mentors serve an i</w:t>
      </w:r>
      <w:r w:rsidR="003D0571">
        <w:rPr>
          <w:rFonts w:ascii="Calibri" w:hAnsi="Calibri" w:cs="Calibri"/>
          <w:color w:val="000000"/>
          <w:sz w:val="24"/>
          <w:szCs w:val="24"/>
        </w:rPr>
        <w:t>nvaluable</w:t>
      </w:r>
      <w:r w:rsidR="00436216">
        <w:rPr>
          <w:rFonts w:ascii="Calibri" w:hAnsi="Calibri" w:cs="Calibri"/>
          <w:color w:val="000000"/>
          <w:sz w:val="24"/>
          <w:szCs w:val="24"/>
        </w:rPr>
        <w:t xml:space="preserve"> role in the  Accreditation program and can save an accreditation manager valuable time by answering most questions about WASPC Accreditation.</w:t>
      </w:r>
      <w:r w:rsidR="003D0571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 w:rsidR="00436216">
        <w:rPr>
          <w:rFonts w:ascii="Calibri" w:hAnsi="Calibri" w:cs="Calibri"/>
          <w:color w:val="000000"/>
          <w:sz w:val="24"/>
          <w:szCs w:val="24"/>
        </w:rPr>
        <w:t xml:space="preserve"> All</w:t>
      </w:r>
      <w:r>
        <w:rPr>
          <w:rFonts w:ascii="Calibri" w:hAnsi="Calibri" w:cs="Calibri"/>
          <w:color w:val="000000"/>
          <w:sz w:val="24"/>
          <w:szCs w:val="24"/>
        </w:rPr>
        <w:t xml:space="preserve"> accreditation mentors have been selected by the WASPC Director of Professional Services</w:t>
      </w:r>
      <w:r w:rsidR="00E67F95">
        <w:rPr>
          <w:rFonts w:ascii="Calibri" w:hAnsi="Calibri" w:cs="Calibri"/>
          <w:color w:val="000000"/>
          <w:sz w:val="24"/>
          <w:szCs w:val="24"/>
        </w:rPr>
        <w:t xml:space="preserve"> and have </w:t>
      </w:r>
      <w:r>
        <w:rPr>
          <w:rFonts w:ascii="Calibri" w:hAnsi="Calibri" w:cs="Calibri"/>
          <w:color w:val="000000"/>
          <w:sz w:val="24"/>
          <w:szCs w:val="24"/>
        </w:rPr>
        <w:t>served as accreditation managers</w:t>
      </w:r>
      <w:r w:rsidR="00436216">
        <w:rPr>
          <w:rFonts w:ascii="Calibri" w:hAnsi="Calibri" w:cs="Calibri"/>
          <w:color w:val="000000"/>
          <w:sz w:val="24"/>
          <w:szCs w:val="24"/>
        </w:rPr>
        <w:t xml:space="preserve"> prior to selection.  They have agreed to volunteer their time by assisting other agencies in </w:t>
      </w:r>
      <w:r w:rsidR="00E67F95">
        <w:rPr>
          <w:rFonts w:ascii="Calibri" w:hAnsi="Calibri" w:cs="Calibri"/>
          <w:color w:val="000000"/>
          <w:sz w:val="24"/>
          <w:szCs w:val="24"/>
        </w:rPr>
        <w:t>sup</w:t>
      </w:r>
      <w:r>
        <w:rPr>
          <w:rFonts w:ascii="Calibri" w:hAnsi="Calibri" w:cs="Calibri"/>
          <w:color w:val="000000"/>
          <w:sz w:val="24"/>
          <w:szCs w:val="24"/>
        </w:rPr>
        <w:t>port</w:t>
      </w:r>
      <w:r w:rsidR="00436216">
        <w:rPr>
          <w:rFonts w:ascii="Calibri" w:hAnsi="Calibri" w:cs="Calibri"/>
          <w:color w:val="000000"/>
          <w:sz w:val="24"/>
          <w:szCs w:val="24"/>
        </w:rPr>
        <w:t xml:space="preserve"> of</w:t>
      </w:r>
      <w:r>
        <w:rPr>
          <w:rFonts w:ascii="Calibri" w:hAnsi="Calibri" w:cs="Calibri"/>
          <w:color w:val="000000"/>
          <w:sz w:val="24"/>
          <w:szCs w:val="24"/>
        </w:rPr>
        <w:t xml:space="preserve"> the WASPC Accreditation pro</w:t>
      </w:r>
      <w:r w:rsidR="00E67F95">
        <w:rPr>
          <w:rFonts w:ascii="Calibri" w:hAnsi="Calibri" w:cs="Calibri"/>
          <w:color w:val="000000"/>
          <w:sz w:val="24"/>
          <w:szCs w:val="24"/>
        </w:rPr>
        <w:t>gram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921703">
        <w:rPr>
          <w:rFonts w:ascii="Calibri" w:hAnsi="Calibri" w:cs="Calibri"/>
          <w:color w:val="000000"/>
          <w:sz w:val="24"/>
          <w:szCs w:val="24"/>
        </w:rPr>
        <w:t xml:space="preserve"> The Director of Professional Services assigns all mentors to interested agencies.  </w:t>
      </w:r>
    </w:p>
    <w:p w:rsidR="00921703" w:rsidRDefault="00921703" w:rsidP="00321A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Mentors provide guidance in:</w:t>
      </w:r>
    </w:p>
    <w:p w:rsidR="00321A0D" w:rsidRDefault="00321A0D" w:rsidP="00321A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Getting started in the process</w:t>
      </w:r>
      <w:r w:rsidR="00D727E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self‐evaluation phase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Putting together a department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accreditation team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Managing the accreditation process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File construction and maintenance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Interpreting accreditation standards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Providing examples of proofs of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compliance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Determining when your agency is</w:t>
      </w:r>
      <w:r w:rsidR="00321A0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ready and facilitating a </w:t>
      </w:r>
      <w:r w:rsidR="00321A0D">
        <w:rPr>
          <w:rFonts w:ascii="Calibri" w:hAnsi="Calibri" w:cs="Calibri"/>
          <w:color w:val="000000"/>
          <w:sz w:val="24"/>
          <w:szCs w:val="24"/>
        </w:rPr>
        <w:t>mock</w:t>
      </w:r>
      <w:r>
        <w:rPr>
          <w:rFonts w:ascii="Calibri" w:hAnsi="Calibri" w:cs="Calibri"/>
          <w:color w:val="000000"/>
          <w:sz w:val="24"/>
          <w:szCs w:val="24"/>
        </w:rPr>
        <w:t xml:space="preserve"> on‐site assessment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mbr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mbria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Dealing with “out of compliance” issues</w:t>
      </w:r>
    </w:p>
    <w:p w:rsidR="0010139B" w:rsidRDefault="0010139B" w:rsidP="00321A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3208C" w:rsidRDefault="0010139B" w:rsidP="00321A0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The roster of WASPC Accreditation Mentors can be found </w:t>
      </w:r>
      <w:r w:rsidR="00E67F95">
        <w:rPr>
          <w:rFonts w:ascii="Calibri" w:hAnsi="Calibri" w:cs="Calibri"/>
          <w:color w:val="000000"/>
          <w:sz w:val="24"/>
          <w:szCs w:val="24"/>
        </w:rPr>
        <w:t xml:space="preserve">on the WASPC website at </w:t>
      </w:r>
      <w:hyperlink r:id="rId6" w:history="1">
        <w:r w:rsidR="00E67F95" w:rsidRPr="00025DA5">
          <w:rPr>
            <w:rStyle w:val="Hyperlink"/>
            <w:rFonts w:ascii="Calibri" w:hAnsi="Calibri" w:cs="Calibri"/>
            <w:sz w:val="24"/>
            <w:szCs w:val="24"/>
          </w:rPr>
          <w:t>http://www.waspc.org/index.php?c=Accreditation</w:t>
        </w:r>
      </w:hyperlink>
      <w:r w:rsidR="00E67F95">
        <w:rPr>
          <w:rFonts w:ascii="Calibri" w:hAnsi="Calibri" w:cs="Calibri"/>
          <w:sz w:val="24"/>
          <w:szCs w:val="24"/>
        </w:rPr>
        <w:t xml:space="preserve">.  Additional questions can be directed to </w:t>
      </w:r>
      <w:r>
        <w:rPr>
          <w:rFonts w:ascii="Calibri" w:hAnsi="Calibri" w:cs="Calibri"/>
          <w:color w:val="000000"/>
          <w:sz w:val="24"/>
          <w:szCs w:val="24"/>
        </w:rPr>
        <w:t>Mike Painter, WASPC Director o</w:t>
      </w:r>
      <w:r w:rsidR="00321A0D">
        <w:rPr>
          <w:rFonts w:ascii="Calibri" w:hAnsi="Calibri" w:cs="Calibri"/>
          <w:color w:val="000000"/>
          <w:sz w:val="24"/>
          <w:szCs w:val="24"/>
        </w:rPr>
        <w:t>f Professional Services, at 360-</w:t>
      </w:r>
      <w:r>
        <w:rPr>
          <w:rFonts w:ascii="Calibri" w:hAnsi="Calibri" w:cs="Calibri"/>
          <w:color w:val="000000"/>
          <w:sz w:val="24"/>
          <w:szCs w:val="24"/>
        </w:rPr>
        <w:t>292</w:t>
      </w:r>
      <w:r w:rsidR="00321A0D">
        <w:rPr>
          <w:rFonts w:ascii="Calibri" w:hAnsi="Calibri" w:cs="Calibri"/>
          <w:color w:val="000000"/>
          <w:sz w:val="24"/>
          <w:szCs w:val="24"/>
        </w:rPr>
        <w:t>-</w:t>
      </w:r>
      <w:r w:rsidR="00DD0433">
        <w:rPr>
          <w:rFonts w:ascii="Calibri" w:hAnsi="Calibri" w:cs="Calibri"/>
          <w:color w:val="000000"/>
          <w:sz w:val="24"/>
          <w:szCs w:val="24"/>
        </w:rPr>
        <w:t xml:space="preserve">7959 </w:t>
      </w:r>
      <w:r>
        <w:rPr>
          <w:rFonts w:ascii="Calibri" w:hAnsi="Calibri" w:cs="Calibri"/>
          <w:color w:val="000000"/>
          <w:sz w:val="24"/>
          <w:szCs w:val="24"/>
        </w:rPr>
        <w:t xml:space="preserve">or </w:t>
      </w:r>
      <w:r w:rsidR="00DD0433">
        <w:rPr>
          <w:rFonts w:ascii="Calibri" w:hAnsi="Calibri" w:cs="Calibri"/>
          <w:color w:val="000000"/>
          <w:sz w:val="24"/>
          <w:szCs w:val="24"/>
        </w:rPr>
        <w:t>mpainter@waspc.org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sectPr w:rsidR="002320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16" w:rsidRDefault="00436216" w:rsidP="00436216">
      <w:pPr>
        <w:spacing w:after="0" w:line="240" w:lineRule="auto"/>
      </w:pPr>
      <w:r>
        <w:separator/>
      </w:r>
    </w:p>
  </w:endnote>
  <w:endnote w:type="continuationSeparator" w:id="0">
    <w:p w:rsidR="00436216" w:rsidRDefault="00436216" w:rsidP="004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16" w:rsidRDefault="00436216">
    <w:pPr>
      <w:pStyle w:val="Footer"/>
    </w:pPr>
    <w:r>
      <w:t>Ju</w:t>
    </w:r>
    <w:r w:rsidR="00D727E4">
      <w:t>ne</w:t>
    </w:r>
    <w:r>
      <w:t xml:space="preserve"> 201</w:t>
    </w:r>
    <w:r w:rsidR="00921703">
      <w:t>7</w:t>
    </w:r>
  </w:p>
  <w:p w:rsidR="00436216" w:rsidRDefault="0043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16" w:rsidRDefault="00436216" w:rsidP="00436216">
      <w:pPr>
        <w:spacing w:after="0" w:line="240" w:lineRule="auto"/>
      </w:pPr>
      <w:r>
        <w:separator/>
      </w:r>
    </w:p>
  </w:footnote>
  <w:footnote w:type="continuationSeparator" w:id="0">
    <w:p w:rsidR="00436216" w:rsidRDefault="00436216" w:rsidP="00436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9B"/>
    <w:rsid w:val="0010139B"/>
    <w:rsid w:val="0023208C"/>
    <w:rsid w:val="002E149D"/>
    <w:rsid w:val="00321A0D"/>
    <w:rsid w:val="003D0571"/>
    <w:rsid w:val="00436216"/>
    <w:rsid w:val="00564590"/>
    <w:rsid w:val="00921703"/>
    <w:rsid w:val="00D55451"/>
    <w:rsid w:val="00D727E4"/>
    <w:rsid w:val="00DD0433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A3BC"/>
  <w15:docId w15:val="{AE5A0EE1-5DA0-4AF7-BDF5-9C60734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3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16"/>
  </w:style>
  <w:style w:type="paragraph" w:styleId="Footer">
    <w:name w:val="footer"/>
    <w:basedOn w:val="Normal"/>
    <w:link w:val="FooterChar"/>
    <w:uiPriority w:val="99"/>
    <w:unhideWhenUsed/>
    <w:rsid w:val="004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16"/>
  </w:style>
  <w:style w:type="paragraph" w:styleId="BalloonText">
    <w:name w:val="Balloon Text"/>
    <w:basedOn w:val="Normal"/>
    <w:link w:val="BalloonTextChar"/>
    <w:uiPriority w:val="99"/>
    <w:semiHidden/>
    <w:unhideWhenUsed/>
    <w:rsid w:val="0043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pc.org/index.php?c=Accredit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Painter</dc:creator>
  <cp:lastModifiedBy>Mike Painter</cp:lastModifiedBy>
  <cp:revision>3</cp:revision>
  <dcterms:created xsi:type="dcterms:W3CDTF">2017-06-22T17:57:00Z</dcterms:created>
  <dcterms:modified xsi:type="dcterms:W3CDTF">2017-06-22T17:58:00Z</dcterms:modified>
</cp:coreProperties>
</file>