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DF48" w14:textId="634D2EFF" w:rsidR="00827F75" w:rsidRDefault="0032787C" w:rsidP="0032787C">
      <w:r>
        <w:t>FOR IMMEDIATE RELEASE</w:t>
      </w:r>
    </w:p>
    <w:p w14:paraId="56BD5AEE" w14:textId="7F2317DB" w:rsidR="0032787C" w:rsidRDefault="00C26A23" w:rsidP="0032787C">
      <w:r>
        <w:t>February 19, 2026</w:t>
      </w:r>
    </w:p>
    <w:p w14:paraId="4BBF54A6" w14:textId="77777777" w:rsidR="0032787C" w:rsidRDefault="0032787C" w:rsidP="0032787C"/>
    <w:p w14:paraId="759D5A42" w14:textId="4A96ABBC" w:rsidR="0032787C" w:rsidRDefault="0032787C" w:rsidP="0032787C">
      <w:r>
        <w:t>Statement attributable to:</w:t>
      </w:r>
    </w:p>
    <w:p w14:paraId="737689B8" w14:textId="6A076934" w:rsidR="0032787C" w:rsidRDefault="0032787C" w:rsidP="0032787C">
      <w:r>
        <w:t xml:space="preserve">Steven D. Strachan, </w:t>
      </w:r>
      <w:r w:rsidR="000248AC">
        <w:t>Executive Director</w:t>
      </w:r>
    </w:p>
    <w:p w14:paraId="71E1CE30" w14:textId="31A28AEA" w:rsidR="0032787C" w:rsidRDefault="0032787C" w:rsidP="0032787C">
      <w:r>
        <w:t>Washington Association of Sheriffs and Police Chiefs</w:t>
      </w:r>
    </w:p>
    <w:p w14:paraId="027C246E" w14:textId="77777777" w:rsidR="0032787C" w:rsidRDefault="0032787C" w:rsidP="0032787C"/>
    <w:p w14:paraId="2893D660" w14:textId="66A0D2E8" w:rsidR="00A40E40" w:rsidRDefault="00C26A23" w:rsidP="0032787C">
      <w:pPr>
        <w:jc w:val="center"/>
      </w:pPr>
      <w:r>
        <w:t xml:space="preserve">WASHINGTON STATE REMAINS </w:t>
      </w:r>
      <w:r w:rsidR="00A40E40">
        <w:t>LAST</w:t>
      </w:r>
      <w:r>
        <w:t xml:space="preserve"> IN NATION IN PER CAPITA POLICE STAFFIN</w:t>
      </w:r>
      <w:r w:rsidR="00A40E40">
        <w:t>G</w:t>
      </w:r>
    </w:p>
    <w:p w14:paraId="3C991593" w14:textId="4A93EA9B" w:rsidR="0032787C" w:rsidRDefault="0032787C" w:rsidP="0032787C">
      <w:pPr>
        <w:jc w:val="center"/>
      </w:pPr>
    </w:p>
    <w:p w14:paraId="62144ED9" w14:textId="1F0BF254" w:rsidR="009C5084" w:rsidRDefault="00A40E40" w:rsidP="008E3054">
      <w:pPr>
        <w:ind w:firstLine="720"/>
        <w:rPr>
          <w:rFonts w:cstheme="minorHAnsi"/>
        </w:rPr>
      </w:pPr>
      <w:r>
        <w:rPr>
          <w:rFonts w:cstheme="minorHAnsi"/>
        </w:rPr>
        <w:t xml:space="preserve">(Lacey, WA) </w:t>
      </w:r>
      <w:r w:rsidR="008E3054">
        <w:rPr>
          <w:rFonts w:cstheme="minorHAnsi"/>
        </w:rPr>
        <w:t xml:space="preserve">Preliminary data for full-time law enforcement staffing in 2025 in Washington State shows that the per capita rate (officers per thousand population) has fallen further behind.  </w:t>
      </w:r>
      <w:r w:rsidR="009C5084">
        <w:rPr>
          <w:rFonts w:cstheme="minorHAnsi"/>
        </w:rPr>
        <w:t>Washington has ranked 51</w:t>
      </w:r>
      <w:r w:rsidR="009C5084" w:rsidRPr="00747813">
        <w:rPr>
          <w:rFonts w:cstheme="minorHAnsi"/>
          <w:vertAlign w:val="superscript"/>
        </w:rPr>
        <w:t>st</w:t>
      </w:r>
      <w:r w:rsidR="009C5084">
        <w:rPr>
          <w:rFonts w:cstheme="minorHAnsi"/>
        </w:rPr>
        <w:t xml:space="preserve"> in the nation</w:t>
      </w:r>
      <w:r>
        <w:rPr>
          <w:rFonts w:cstheme="minorHAnsi"/>
        </w:rPr>
        <w:t xml:space="preserve"> (the fifty states and District of Columbia)</w:t>
      </w:r>
      <w:r w:rsidR="009C5084">
        <w:rPr>
          <w:rFonts w:cstheme="minorHAnsi"/>
        </w:rPr>
        <w:t xml:space="preserve"> for officers per capita for 1</w:t>
      </w:r>
      <w:r>
        <w:rPr>
          <w:rFonts w:cstheme="minorHAnsi"/>
        </w:rPr>
        <w:t>5</w:t>
      </w:r>
      <w:r w:rsidR="009C5084">
        <w:rPr>
          <w:rFonts w:cstheme="minorHAnsi"/>
        </w:rPr>
        <w:t xml:space="preserve"> consecutive years</w:t>
      </w:r>
      <w:r w:rsidR="008E3054">
        <w:rPr>
          <w:rFonts w:cstheme="minorHAnsi"/>
        </w:rPr>
        <w:t xml:space="preserve">.  </w:t>
      </w:r>
      <w:r>
        <w:rPr>
          <w:rFonts w:cstheme="minorHAnsi"/>
        </w:rPr>
        <w:t>The Washington Association of Sheriffs and Police Chiefs (WASPC) tracks the data for use in state and federal crime rate</w:t>
      </w:r>
      <w:r w:rsidR="00E62443">
        <w:rPr>
          <w:rFonts w:cstheme="minorHAnsi"/>
        </w:rPr>
        <w:t xml:space="preserve"> reports.  </w:t>
      </w:r>
      <w:r>
        <w:rPr>
          <w:rFonts w:cstheme="minorHAnsi"/>
        </w:rPr>
        <w:t xml:space="preserve">The </w:t>
      </w:r>
      <w:r w:rsidR="008E3054">
        <w:rPr>
          <w:rFonts w:cstheme="minorHAnsi"/>
        </w:rPr>
        <w:t xml:space="preserve">net </w:t>
      </w:r>
      <w:r>
        <w:rPr>
          <w:rFonts w:cstheme="minorHAnsi"/>
        </w:rPr>
        <w:t>increase of a total of 68 officers statewide from 2024 to 2025 was offset by the increase in population of 79,400 for a net decrease of rate per 1,000</w:t>
      </w:r>
      <w:r w:rsidR="008E3054">
        <w:rPr>
          <w:rFonts w:cstheme="minorHAnsi"/>
        </w:rPr>
        <w:t>,</w:t>
      </w:r>
      <w:r>
        <w:rPr>
          <w:rFonts w:cstheme="minorHAnsi"/>
        </w:rPr>
        <w:t xml:space="preserve"> to 1.37.</w:t>
      </w:r>
    </w:p>
    <w:p w14:paraId="4021C142" w14:textId="77777777" w:rsidR="009C5084" w:rsidRDefault="009C5084" w:rsidP="009C5084">
      <w:pPr>
        <w:rPr>
          <w:rFonts w:cstheme="minorHAnsi"/>
        </w:rPr>
      </w:pPr>
    </w:p>
    <w:p w14:paraId="69FFE66D" w14:textId="576DBE6E" w:rsidR="009C5084" w:rsidRDefault="00E62443" w:rsidP="009C5084">
      <w:pPr>
        <w:rPr>
          <w:rFonts w:cstheme="minorHAnsi"/>
        </w:rPr>
      </w:pPr>
      <w:r>
        <w:rPr>
          <w:rFonts w:cstheme="minorHAnsi"/>
        </w:rPr>
        <w:t>“</w:t>
      </w:r>
      <w:r w:rsidR="009C5084" w:rsidRPr="008A79B2">
        <w:rPr>
          <w:rFonts w:cstheme="minorHAnsi"/>
        </w:rPr>
        <w:t>Washington</w:t>
      </w:r>
      <w:r w:rsidR="008E3054">
        <w:rPr>
          <w:rFonts w:cstheme="minorHAnsi"/>
        </w:rPr>
        <w:t xml:space="preserve">’s chronic lack of law enforcement staffing unfortunately continues in the wrong direction, and we’re not even treading water,” </w:t>
      </w:r>
      <w:r>
        <w:rPr>
          <w:rFonts w:cstheme="minorHAnsi"/>
        </w:rPr>
        <w:t>said Steven D. Strachan</w:t>
      </w:r>
      <w:r w:rsidR="008E3054">
        <w:rPr>
          <w:rFonts w:cstheme="minorHAnsi"/>
        </w:rPr>
        <w:t>,</w:t>
      </w:r>
      <w:r>
        <w:rPr>
          <w:rFonts w:cstheme="minorHAnsi"/>
        </w:rPr>
        <w:t xml:space="preserve"> executive director</w:t>
      </w:r>
      <w:r w:rsidR="009C5084" w:rsidRPr="008A79B2">
        <w:rPr>
          <w:rFonts w:cstheme="minorHAnsi"/>
        </w:rPr>
        <w:t xml:space="preserve">. </w:t>
      </w:r>
      <w:r>
        <w:rPr>
          <w:rFonts w:cstheme="minorHAnsi"/>
        </w:rPr>
        <w:t>“</w:t>
      </w:r>
      <w:r w:rsidR="009C5084" w:rsidRPr="008A79B2">
        <w:rPr>
          <w:rFonts w:cstheme="minorHAnsi"/>
        </w:rPr>
        <w:t xml:space="preserve">Too few officers </w:t>
      </w:r>
      <w:r w:rsidR="008E3054">
        <w:rPr>
          <w:rFonts w:cstheme="minorHAnsi"/>
        </w:rPr>
        <w:t xml:space="preserve">has negative effects on justice for victims, response and investigation of crimes, wellness for officers, and reduces opportunities for de-escalation.”  </w:t>
      </w:r>
    </w:p>
    <w:p w14:paraId="0631301A" w14:textId="0A68F027" w:rsidR="00E62443" w:rsidRDefault="00E62443" w:rsidP="009C5084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4D7978" wp14:editId="66B6BF02">
            <wp:simplePos x="0" y="0"/>
            <wp:positionH relativeFrom="column">
              <wp:posOffset>-106680</wp:posOffset>
            </wp:positionH>
            <wp:positionV relativeFrom="paragraph">
              <wp:posOffset>309245</wp:posOffset>
            </wp:positionV>
            <wp:extent cx="5886449" cy="3872865"/>
            <wp:effectExtent l="0" t="0" r="635" b="13335"/>
            <wp:wrapSquare wrapText="bothSides"/>
            <wp:docPr id="11884387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A0086F2-92D0-8FB8-AF2D-1D9BB36AEF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11FEF215" w14:textId="1C97CA46" w:rsidR="00E62443" w:rsidRDefault="00E62443" w:rsidP="00E62443">
      <w:pPr>
        <w:rPr>
          <w:rFonts w:cstheme="minorHAnsi"/>
        </w:rPr>
      </w:pPr>
      <w:r>
        <w:rPr>
          <w:noProof/>
        </w:rPr>
        <w:lastRenderedPageBreak/>
        <w:br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217B95C" wp14:editId="7D39946B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5905500" cy="3184525"/>
            <wp:effectExtent l="0" t="0" r="0" b="15875"/>
            <wp:wrapSquare wrapText="bothSides"/>
            <wp:docPr id="642479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D8146CD-0077-CB5E-6A6D-293C2D595F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440" w:type="dxa"/>
        <w:tblLook w:val="04A0" w:firstRow="1" w:lastRow="0" w:firstColumn="1" w:lastColumn="0" w:noHBand="0" w:noVBand="1"/>
      </w:tblPr>
      <w:tblGrid>
        <w:gridCol w:w="1140"/>
        <w:gridCol w:w="1100"/>
        <w:gridCol w:w="1340"/>
        <w:gridCol w:w="946"/>
      </w:tblGrid>
      <w:tr w:rsidR="00E62443" w:rsidRPr="00E62443" w14:paraId="05E1C97D" w14:textId="77777777" w:rsidTr="00E62443">
        <w:trPr>
          <w:trHeight w:val="5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A770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E62443">
              <w:rPr>
                <w:rFonts w:ascii="Aptos Narrow" w:hAnsi="Aptos Narrow"/>
                <w:b/>
                <w:bCs/>
                <w:color w:val="000000"/>
              </w:rPr>
              <w:t>WA only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02510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E62443">
              <w:rPr>
                <w:rFonts w:ascii="Aptos Narrow" w:hAnsi="Aptos Narrow"/>
                <w:b/>
                <w:bCs/>
                <w:color w:val="000000"/>
              </w:rPr>
              <w:t>Rate per 1,000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CB8E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E62443">
              <w:rPr>
                <w:rFonts w:ascii="Aptos Narrow" w:hAnsi="Aptos Narrow"/>
                <w:b/>
                <w:bCs/>
                <w:color w:val="000000"/>
              </w:rPr>
              <w:t>Population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BA10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E62443">
              <w:rPr>
                <w:rFonts w:ascii="Aptos Narrow" w:hAnsi="Aptos Narrow"/>
                <w:b/>
                <w:bCs/>
                <w:color w:val="000000"/>
              </w:rPr>
              <w:t>Officers</w:t>
            </w:r>
          </w:p>
        </w:tc>
      </w:tr>
      <w:tr w:rsidR="00E62443" w:rsidRPr="00E62443" w14:paraId="385933CF" w14:textId="77777777" w:rsidTr="00E62443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7370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2011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5DE9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1.51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A5C3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6,815,859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F5D2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10,269</w:t>
            </w:r>
          </w:p>
        </w:tc>
      </w:tr>
      <w:tr w:rsidR="00E62443" w:rsidRPr="00E62443" w14:paraId="4B8EE7AA" w14:textId="77777777" w:rsidTr="00E62443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60B8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2012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487D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1.47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AE7C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6,880,100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CB66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10,128</w:t>
            </w:r>
          </w:p>
        </w:tc>
      </w:tr>
      <w:tr w:rsidR="00E62443" w:rsidRPr="00E62443" w14:paraId="33EF61CE" w14:textId="77777777" w:rsidTr="00E62443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35E8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2013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D441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1.47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ACAF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6,954,564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A511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10,231</w:t>
            </w:r>
          </w:p>
        </w:tc>
      </w:tr>
      <w:tr w:rsidR="00E62443" w:rsidRPr="00E62443" w14:paraId="206CB9D2" w14:textId="77777777" w:rsidTr="00E62443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F395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2014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4324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1.47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95C6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7,037,348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75C4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10,311</w:t>
            </w:r>
          </w:p>
        </w:tc>
      </w:tr>
      <w:tr w:rsidR="00E62443" w:rsidRPr="00E62443" w14:paraId="1FEB7C79" w14:textId="77777777" w:rsidTr="00E62443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6A0F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2015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80D7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1.45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8535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7,163,761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1893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10,386</w:t>
            </w:r>
          </w:p>
        </w:tc>
      </w:tr>
      <w:tr w:rsidR="00E62443" w:rsidRPr="00E62443" w14:paraId="3BC1FF55" w14:textId="77777777" w:rsidTr="00E62443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E2DC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2016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CE89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1.45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5BF3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7,258,544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4E9F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10,507</w:t>
            </w:r>
          </w:p>
        </w:tc>
      </w:tr>
      <w:tr w:rsidR="00E62443" w:rsidRPr="00E62443" w14:paraId="18857CE9" w14:textId="77777777" w:rsidTr="00E62443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23FE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7F06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1.45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C20E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7,377,379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4165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10,716</w:t>
            </w:r>
          </w:p>
        </w:tc>
      </w:tr>
      <w:tr w:rsidR="00E62443" w:rsidRPr="00E62443" w14:paraId="07A321A7" w14:textId="77777777" w:rsidTr="00E62443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B97B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7E6C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1.44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CDCD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7,507,712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FFC6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10,820</w:t>
            </w:r>
          </w:p>
        </w:tc>
      </w:tr>
      <w:tr w:rsidR="00E62443" w:rsidRPr="00E62443" w14:paraId="1E4C8B46" w14:textId="77777777" w:rsidTr="00E62443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CB87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B4F0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1.45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2C30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7,588,204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EE79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11,031</w:t>
            </w:r>
          </w:p>
        </w:tc>
      </w:tr>
      <w:tr w:rsidR="00E62443" w:rsidRPr="00E62443" w14:paraId="3D59A634" w14:textId="77777777" w:rsidTr="00E62443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C4E2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04BD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1.43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C391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7,663,848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63A6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10,973</w:t>
            </w:r>
          </w:p>
        </w:tc>
      </w:tr>
      <w:tr w:rsidR="00E62443" w:rsidRPr="00E62443" w14:paraId="094FF7FF" w14:textId="77777777" w:rsidTr="00E62443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FCFF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8FE3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1.35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DBB7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7,705,506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FD08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10,431</w:t>
            </w:r>
          </w:p>
        </w:tc>
      </w:tr>
      <w:tr w:rsidR="00E62443" w:rsidRPr="00E62443" w14:paraId="37A89206" w14:textId="77777777" w:rsidTr="00E62443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AE2D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2022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EB8F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1.34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A669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7,755,215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05B4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10,393</w:t>
            </w:r>
          </w:p>
        </w:tc>
      </w:tr>
      <w:tr w:rsidR="00E62443" w:rsidRPr="00E62443" w14:paraId="1F1FD15D" w14:textId="77777777" w:rsidTr="00E62443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BC88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2023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8AC5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1.35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677B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7,777,364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B133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10,482</w:t>
            </w:r>
          </w:p>
        </w:tc>
      </w:tr>
      <w:tr w:rsidR="00E62443" w:rsidRPr="00E62443" w14:paraId="3EFD2B8B" w14:textId="77777777" w:rsidTr="00E62443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9C7A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2024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B6EE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1.38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B4A8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8,035,515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75F5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11,070</w:t>
            </w:r>
          </w:p>
        </w:tc>
      </w:tr>
      <w:tr w:rsidR="00E62443" w:rsidRPr="00E62443" w14:paraId="0093BEE3" w14:textId="77777777" w:rsidTr="00E62443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50C9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2025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E7F6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1.37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CA5F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8,114,915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579C" w14:textId="77777777" w:rsidR="00E62443" w:rsidRPr="00E62443" w:rsidRDefault="00E62443" w:rsidP="00E62443">
            <w:pPr>
              <w:widowControl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</w:rPr>
            </w:pPr>
            <w:r w:rsidRPr="00E62443">
              <w:rPr>
                <w:rFonts w:ascii="Aptos Narrow" w:hAnsi="Aptos Narrow"/>
                <w:color w:val="000000"/>
              </w:rPr>
              <w:t>11,138</w:t>
            </w:r>
          </w:p>
        </w:tc>
      </w:tr>
    </w:tbl>
    <w:p w14:paraId="1081F8CE" w14:textId="40700CC5" w:rsidR="00A40E40" w:rsidRPr="00A40E40" w:rsidRDefault="00A40E40" w:rsidP="00A40E40"/>
    <w:p w14:paraId="42BF325E" w14:textId="06ABFD1E" w:rsidR="00A40E40" w:rsidRPr="00A40E40" w:rsidRDefault="00A40E40" w:rsidP="00A40E40">
      <w:r w:rsidRPr="00A40E40">
        <w:t> </w:t>
      </w:r>
    </w:p>
    <w:p w14:paraId="25A99E4E" w14:textId="21506EE5" w:rsidR="00E62443" w:rsidRDefault="00E62443" w:rsidP="00E62443">
      <w:pPr>
        <w:rPr>
          <w:rFonts w:cstheme="minorHAnsi"/>
        </w:rPr>
      </w:pPr>
      <w:r>
        <w:rPr>
          <w:rFonts w:cstheme="minorHAnsi"/>
        </w:rPr>
        <w:t>The full Crime in Washington report for 2025 will be published this summer.</w:t>
      </w:r>
    </w:p>
    <w:p w14:paraId="3BA916F3" w14:textId="77777777" w:rsidR="00E62443" w:rsidRDefault="00E62443" w:rsidP="00E62443">
      <w:pPr>
        <w:rPr>
          <w:rFonts w:cstheme="minorHAnsi"/>
        </w:rPr>
      </w:pPr>
    </w:p>
    <w:p w14:paraId="5F6634BB" w14:textId="7394190B" w:rsidR="00E62443" w:rsidRDefault="00E62443" w:rsidP="00E62443">
      <w:pPr>
        <w:jc w:val="center"/>
        <w:rPr>
          <w:rFonts w:cstheme="minorHAnsi"/>
        </w:rPr>
      </w:pPr>
      <w:r>
        <w:rPr>
          <w:rFonts w:cstheme="minorHAnsi"/>
        </w:rPr>
        <w:t>###</w:t>
      </w:r>
    </w:p>
    <w:p w14:paraId="60116A39" w14:textId="74B347B8" w:rsidR="0001496E" w:rsidRDefault="0001496E" w:rsidP="0032787C"/>
    <w:sectPr w:rsidR="0001496E" w:rsidSect="007F0347">
      <w:headerReference w:type="first" r:id="rId13"/>
      <w:footerReference w:type="first" r:id="rId14"/>
      <w:type w:val="continuous"/>
      <w:pgSz w:w="12240" w:h="15840" w:code="1"/>
      <w:pgMar w:top="1440" w:right="1440" w:bottom="72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7290" w14:textId="77777777" w:rsidR="00B91623" w:rsidRDefault="00B91623" w:rsidP="00590471">
      <w:r>
        <w:separator/>
      </w:r>
    </w:p>
  </w:endnote>
  <w:endnote w:type="continuationSeparator" w:id="0">
    <w:p w14:paraId="7C14AEE2" w14:textId="77777777" w:rsidR="00B91623" w:rsidRDefault="00B91623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9062" w14:textId="77777777" w:rsidR="004A6458" w:rsidRDefault="004A6458" w:rsidP="003B0CCC">
    <w:pPr>
      <w:pStyle w:val="Footer"/>
      <w:jc w:val="center"/>
      <w:rPr>
        <w:rFonts w:ascii="Arial" w:hAnsi="Arial" w:cs="Arial"/>
        <w:b/>
        <w:i/>
        <w:sz w:val="18"/>
      </w:rPr>
    </w:pPr>
  </w:p>
  <w:p w14:paraId="1FC4A6D4" w14:textId="11A5FECC" w:rsidR="003B0CCC" w:rsidRPr="00FF58E9" w:rsidRDefault="002F06D0" w:rsidP="003B0CCC">
    <w:pPr>
      <w:pStyle w:val="Footer"/>
      <w:jc w:val="center"/>
      <w:rPr>
        <w:rFonts w:ascii="Arial" w:hAnsi="Arial" w:cs="Arial"/>
        <w:b/>
        <w:i/>
        <w:sz w:val="18"/>
      </w:rPr>
    </w:pPr>
    <w:r>
      <w:rPr>
        <w:rFonts w:ascii="Arial" w:hAnsi="Arial" w:cs="Arial"/>
        <w:b/>
        <w:i/>
        <w:sz w:val="18"/>
      </w:rPr>
      <w:t>Leading collaboration among law enforcement professionals to enhance public safety.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8D70" w14:textId="77777777" w:rsidR="00B91623" w:rsidRDefault="00B91623" w:rsidP="00590471">
      <w:r>
        <w:separator/>
      </w:r>
    </w:p>
  </w:footnote>
  <w:footnote w:type="continuationSeparator" w:id="0">
    <w:p w14:paraId="01F589F6" w14:textId="77777777" w:rsidR="00B91623" w:rsidRDefault="00B91623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25" w:type="pct"/>
      <w:tblInd w:w="-72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3780"/>
    </w:tblGrid>
    <w:tr w:rsidR="003B0CCC" w14:paraId="2E2E815D" w14:textId="77777777" w:rsidTr="000A42B9">
      <w:trPr>
        <w:trHeight w:val="1537"/>
      </w:trPr>
      <w:tc>
        <w:tcPr>
          <w:tcW w:w="3205" w:type="pct"/>
        </w:tcPr>
        <w:p w14:paraId="1C8F27E3" w14:textId="77777777" w:rsidR="003B0CCC" w:rsidRDefault="003B0CCC" w:rsidP="003B0CCC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C413D31" wp14:editId="3DD544D6">
                <wp:simplePos x="0" y="0"/>
                <wp:positionH relativeFrom="column">
                  <wp:posOffset>15240</wp:posOffset>
                </wp:positionH>
                <wp:positionV relativeFrom="paragraph">
                  <wp:posOffset>7620</wp:posOffset>
                </wp:positionV>
                <wp:extent cx="2658759" cy="962025"/>
                <wp:effectExtent l="0" t="0" r="8255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9961" cy="962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F9E3EA" w14:textId="77777777" w:rsidR="003B0CCC" w:rsidRDefault="003B0CCC" w:rsidP="003B0CCC"/>
      </w:tc>
      <w:tc>
        <w:tcPr>
          <w:tcW w:w="1795" w:type="pct"/>
        </w:tcPr>
        <w:p w14:paraId="1FA9678B" w14:textId="77777777" w:rsidR="003B0CCC" w:rsidRDefault="003B0CCC" w:rsidP="003B0CCC">
          <w:pPr>
            <w:ind w:left="702"/>
            <w:rPr>
              <w:rFonts w:ascii="Arial Rounded MT Bold" w:hAnsi="Arial Rounded MT Bold"/>
              <w:sz w:val="18"/>
              <w:szCs w:val="18"/>
            </w:rPr>
          </w:pPr>
        </w:p>
        <w:p w14:paraId="40F609AD" w14:textId="77777777" w:rsidR="003B0CCC" w:rsidRPr="00D129E1" w:rsidRDefault="003B0CCC" w:rsidP="003B0CCC">
          <w:pPr>
            <w:ind w:left="702"/>
            <w:jc w:val="right"/>
            <w:rPr>
              <w:rFonts w:ascii="Arial" w:hAnsi="Arial" w:cs="Arial"/>
              <w:sz w:val="20"/>
              <w:szCs w:val="20"/>
            </w:rPr>
          </w:pPr>
          <w:r w:rsidRPr="00D129E1">
            <w:rPr>
              <w:rFonts w:ascii="Arial" w:hAnsi="Arial" w:cs="Arial"/>
              <w:sz w:val="20"/>
              <w:szCs w:val="20"/>
            </w:rPr>
            <w:t>3060 Willamette Drive NE</w:t>
          </w:r>
        </w:p>
        <w:p w14:paraId="39DE04F2" w14:textId="77777777" w:rsidR="003B0CCC" w:rsidRPr="00D129E1" w:rsidRDefault="003B0CCC" w:rsidP="003B0CCC">
          <w:pPr>
            <w:ind w:left="702"/>
            <w:jc w:val="right"/>
            <w:rPr>
              <w:rFonts w:ascii="Arial" w:hAnsi="Arial" w:cs="Arial"/>
              <w:sz w:val="20"/>
              <w:szCs w:val="20"/>
            </w:rPr>
          </w:pPr>
          <w:r w:rsidRPr="00D129E1">
            <w:rPr>
              <w:rFonts w:ascii="Arial" w:hAnsi="Arial" w:cs="Arial"/>
              <w:sz w:val="20"/>
              <w:szCs w:val="20"/>
            </w:rPr>
            <w:t>Lacey, WA 98516</w:t>
          </w:r>
        </w:p>
        <w:p w14:paraId="15707C40" w14:textId="77777777" w:rsidR="003B0CCC" w:rsidRPr="00D129E1" w:rsidRDefault="003B0CCC" w:rsidP="003B0CCC">
          <w:pPr>
            <w:ind w:left="702"/>
            <w:jc w:val="right"/>
            <w:rPr>
              <w:rFonts w:ascii="Arial" w:hAnsi="Arial" w:cs="Arial"/>
              <w:sz w:val="20"/>
              <w:szCs w:val="20"/>
            </w:rPr>
          </w:pPr>
          <w:r w:rsidRPr="00D129E1">
            <w:rPr>
              <w:rFonts w:ascii="Arial" w:hAnsi="Arial" w:cs="Arial"/>
              <w:sz w:val="20"/>
              <w:szCs w:val="20"/>
            </w:rPr>
            <w:t>360-486-2380 (Phone)</w:t>
          </w:r>
        </w:p>
        <w:p w14:paraId="175B6FE8" w14:textId="77777777" w:rsidR="003B0CCC" w:rsidRPr="00D129E1" w:rsidRDefault="003B0CCC" w:rsidP="003B0CCC">
          <w:pPr>
            <w:ind w:left="702"/>
            <w:jc w:val="right"/>
            <w:rPr>
              <w:rFonts w:ascii="Arial" w:hAnsi="Arial" w:cs="Arial"/>
              <w:sz w:val="20"/>
              <w:szCs w:val="20"/>
            </w:rPr>
          </w:pPr>
          <w:r w:rsidRPr="00D129E1">
            <w:rPr>
              <w:rFonts w:ascii="Arial" w:hAnsi="Arial" w:cs="Arial"/>
              <w:sz w:val="20"/>
              <w:szCs w:val="20"/>
            </w:rPr>
            <w:t>360-486-2381 (Fax)</w:t>
          </w:r>
        </w:p>
        <w:p w14:paraId="29E0C3CA" w14:textId="77777777" w:rsidR="003B0CCC" w:rsidRPr="005E67AA" w:rsidRDefault="003B0CCC" w:rsidP="003B0CCC">
          <w:pPr>
            <w:ind w:left="702"/>
            <w:jc w:val="right"/>
            <w:rPr>
              <w:rFonts w:ascii="Arial Rounded MT Bold" w:hAnsi="Arial Rounded MT Bold"/>
              <w:sz w:val="20"/>
              <w:szCs w:val="20"/>
            </w:rPr>
          </w:pPr>
          <w:r w:rsidRPr="00022AB5">
            <w:rPr>
              <w:rFonts w:ascii="Arial" w:hAnsi="Arial" w:cs="Arial"/>
              <w:sz w:val="20"/>
              <w:szCs w:val="20"/>
            </w:rPr>
            <w:t>www.waspc.org</w:t>
          </w:r>
          <w:r>
            <w:rPr>
              <w:rFonts w:ascii="Arial Rounded MT Bold" w:hAnsi="Arial Rounded MT Bold"/>
              <w:sz w:val="20"/>
              <w:szCs w:val="20"/>
            </w:rPr>
            <w:t xml:space="preserve"> </w:t>
          </w:r>
        </w:p>
        <w:p w14:paraId="2EC3F22D" w14:textId="77777777" w:rsidR="003B0CCC" w:rsidRDefault="003B0CCC" w:rsidP="003B0CCC">
          <w:pPr>
            <w:ind w:left="702"/>
          </w:pPr>
          <w:r>
            <w:t xml:space="preserve"> </w:t>
          </w:r>
        </w:p>
      </w:tc>
    </w:tr>
  </w:tbl>
  <w:p w14:paraId="433FA7C4" w14:textId="4CE8C272" w:rsidR="000206A7" w:rsidRPr="004C3304" w:rsidRDefault="000206A7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E014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2" w15:restartNumberingAfterBreak="0">
    <w:nsid w:val="015D7E13"/>
    <w:multiLevelType w:val="hybridMultilevel"/>
    <w:tmpl w:val="D9FC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57261"/>
    <w:multiLevelType w:val="multilevel"/>
    <w:tmpl w:val="7EAA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65F96"/>
    <w:multiLevelType w:val="hybridMultilevel"/>
    <w:tmpl w:val="A3D48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69EC"/>
    <w:multiLevelType w:val="hybridMultilevel"/>
    <w:tmpl w:val="7B04A8D6"/>
    <w:lvl w:ilvl="0" w:tplc="09A0BBC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6E1E6D"/>
    <w:multiLevelType w:val="hybridMultilevel"/>
    <w:tmpl w:val="6AF6DF48"/>
    <w:lvl w:ilvl="0" w:tplc="6AD605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3F5115"/>
    <w:multiLevelType w:val="hybridMultilevel"/>
    <w:tmpl w:val="D82CD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CF21F7"/>
    <w:multiLevelType w:val="hybridMultilevel"/>
    <w:tmpl w:val="4F725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EE3978"/>
    <w:multiLevelType w:val="hybridMultilevel"/>
    <w:tmpl w:val="FCCA6E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E2D6AD1"/>
    <w:multiLevelType w:val="hybridMultilevel"/>
    <w:tmpl w:val="4C0CE8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E3D4AB8"/>
    <w:multiLevelType w:val="multilevel"/>
    <w:tmpl w:val="965AAA6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 w16cid:durableId="560486012">
    <w:abstractNumId w:val="1"/>
  </w:num>
  <w:num w:numId="2" w16cid:durableId="496072507">
    <w:abstractNumId w:val="5"/>
  </w:num>
  <w:num w:numId="3" w16cid:durableId="1566990291">
    <w:abstractNumId w:val="0"/>
  </w:num>
  <w:num w:numId="4" w16cid:durableId="962462223">
    <w:abstractNumId w:val="8"/>
  </w:num>
  <w:num w:numId="5" w16cid:durableId="1151171836">
    <w:abstractNumId w:val="9"/>
  </w:num>
  <w:num w:numId="6" w16cid:durableId="922956167">
    <w:abstractNumId w:val="4"/>
  </w:num>
  <w:num w:numId="7" w16cid:durableId="1308895004">
    <w:abstractNumId w:val="10"/>
  </w:num>
  <w:num w:numId="8" w16cid:durableId="1585412723">
    <w:abstractNumId w:val="11"/>
  </w:num>
  <w:num w:numId="9" w16cid:durableId="1363171167">
    <w:abstractNumId w:val="12"/>
  </w:num>
  <w:num w:numId="10" w16cid:durableId="1892770279">
    <w:abstractNumId w:val="3"/>
  </w:num>
  <w:num w:numId="11" w16cid:durableId="1798985454">
    <w:abstractNumId w:val="6"/>
  </w:num>
  <w:num w:numId="12" w16cid:durableId="2005425284">
    <w:abstractNumId w:val="2"/>
  </w:num>
  <w:num w:numId="13" w16cid:durableId="835805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enforcement="0"/>
  <w:defaultTabStop w:val="720"/>
  <w:drawingGridHorizontalSpacing w:val="110"/>
  <w:drawingGridVerticalSpacing w:val="299"/>
  <w:displayHorizontalDrawingGridEvery w:val="0"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FC"/>
    <w:rsid w:val="00005C7D"/>
    <w:rsid w:val="0001496E"/>
    <w:rsid w:val="000206A7"/>
    <w:rsid w:val="00022AB5"/>
    <w:rsid w:val="000248AC"/>
    <w:rsid w:val="0002679A"/>
    <w:rsid w:val="0003792B"/>
    <w:rsid w:val="00060042"/>
    <w:rsid w:val="00061037"/>
    <w:rsid w:val="0008685D"/>
    <w:rsid w:val="00090860"/>
    <w:rsid w:val="000A4BE8"/>
    <w:rsid w:val="000B211B"/>
    <w:rsid w:val="000B4564"/>
    <w:rsid w:val="000B7565"/>
    <w:rsid w:val="000C6F78"/>
    <w:rsid w:val="000D416F"/>
    <w:rsid w:val="000E2A25"/>
    <w:rsid w:val="00102B96"/>
    <w:rsid w:val="00105186"/>
    <w:rsid w:val="001074C7"/>
    <w:rsid w:val="00107C24"/>
    <w:rsid w:val="00112FD7"/>
    <w:rsid w:val="00130809"/>
    <w:rsid w:val="001446EF"/>
    <w:rsid w:val="00150ABD"/>
    <w:rsid w:val="0015667F"/>
    <w:rsid w:val="00172235"/>
    <w:rsid w:val="00181889"/>
    <w:rsid w:val="00182C78"/>
    <w:rsid w:val="001946FC"/>
    <w:rsid w:val="001A14A7"/>
    <w:rsid w:val="001A2A0A"/>
    <w:rsid w:val="001B486B"/>
    <w:rsid w:val="001C69EE"/>
    <w:rsid w:val="001D5D73"/>
    <w:rsid w:val="001E11BE"/>
    <w:rsid w:val="00210505"/>
    <w:rsid w:val="00211956"/>
    <w:rsid w:val="00222466"/>
    <w:rsid w:val="002262BE"/>
    <w:rsid w:val="002358A5"/>
    <w:rsid w:val="00242D31"/>
    <w:rsid w:val="0024700E"/>
    <w:rsid w:val="0024753C"/>
    <w:rsid w:val="00247E80"/>
    <w:rsid w:val="00276026"/>
    <w:rsid w:val="0028434C"/>
    <w:rsid w:val="002929BC"/>
    <w:rsid w:val="002A0A4E"/>
    <w:rsid w:val="002A45AE"/>
    <w:rsid w:val="002A728E"/>
    <w:rsid w:val="002A769E"/>
    <w:rsid w:val="002B4549"/>
    <w:rsid w:val="002C0A7E"/>
    <w:rsid w:val="002C231C"/>
    <w:rsid w:val="002C37A5"/>
    <w:rsid w:val="002C7D7D"/>
    <w:rsid w:val="002E16B9"/>
    <w:rsid w:val="002E41F7"/>
    <w:rsid w:val="002E50FC"/>
    <w:rsid w:val="002F06D0"/>
    <w:rsid w:val="002F56B3"/>
    <w:rsid w:val="002F7846"/>
    <w:rsid w:val="00300B66"/>
    <w:rsid w:val="00300D28"/>
    <w:rsid w:val="00310F17"/>
    <w:rsid w:val="00317DBE"/>
    <w:rsid w:val="00321AD9"/>
    <w:rsid w:val="00322A46"/>
    <w:rsid w:val="00325187"/>
    <w:rsid w:val="0032787C"/>
    <w:rsid w:val="003278CB"/>
    <w:rsid w:val="003326CB"/>
    <w:rsid w:val="003340B7"/>
    <w:rsid w:val="00351D2B"/>
    <w:rsid w:val="00353B60"/>
    <w:rsid w:val="003563DF"/>
    <w:rsid w:val="00367E69"/>
    <w:rsid w:val="00372700"/>
    <w:rsid w:val="0037313A"/>
    <w:rsid w:val="00373CC5"/>
    <w:rsid w:val="00376291"/>
    <w:rsid w:val="00380FD1"/>
    <w:rsid w:val="00381A6D"/>
    <w:rsid w:val="00383D02"/>
    <w:rsid w:val="00384E91"/>
    <w:rsid w:val="00385DE7"/>
    <w:rsid w:val="003A21BE"/>
    <w:rsid w:val="003B0CCC"/>
    <w:rsid w:val="003B10F6"/>
    <w:rsid w:val="003C1812"/>
    <w:rsid w:val="003D0338"/>
    <w:rsid w:val="003D1B71"/>
    <w:rsid w:val="003D6375"/>
    <w:rsid w:val="003D6B79"/>
    <w:rsid w:val="003E42CD"/>
    <w:rsid w:val="003F06BF"/>
    <w:rsid w:val="004037EC"/>
    <w:rsid w:val="004340C2"/>
    <w:rsid w:val="00436E3F"/>
    <w:rsid w:val="00447A5C"/>
    <w:rsid w:val="004528CB"/>
    <w:rsid w:val="004628B1"/>
    <w:rsid w:val="00465667"/>
    <w:rsid w:val="00466B9B"/>
    <w:rsid w:val="004801B8"/>
    <w:rsid w:val="00482EF2"/>
    <w:rsid w:val="00483659"/>
    <w:rsid w:val="00496F28"/>
    <w:rsid w:val="004A6458"/>
    <w:rsid w:val="004A706D"/>
    <w:rsid w:val="004B106B"/>
    <w:rsid w:val="004C3304"/>
    <w:rsid w:val="004E1248"/>
    <w:rsid w:val="004E151E"/>
    <w:rsid w:val="004E158A"/>
    <w:rsid w:val="004E1F5E"/>
    <w:rsid w:val="004E4A8A"/>
    <w:rsid w:val="004F3430"/>
    <w:rsid w:val="00505CA1"/>
    <w:rsid w:val="00506AA7"/>
    <w:rsid w:val="00507BB7"/>
    <w:rsid w:val="00523978"/>
    <w:rsid w:val="005312A0"/>
    <w:rsid w:val="00535C61"/>
    <w:rsid w:val="00537B74"/>
    <w:rsid w:val="00552256"/>
    <w:rsid w:val="00565C77"/>
    <w:rsid w:val="0056708E"/>
    <w:rsid w:val="005761A6"/>
    <w:rsid w:val="005801E5"/>
    <w:rsid w:val="0058649B"/>
    <w:rsid w:val="00590471"/>
    <w:rsid w:val="00592175"/>
    <w:rsid w:val="00595626"/>
    <w:rsid w:val="005A0E97"/>
    <w:rsid w:val="005B3DBB"/>
    <w:rsid w:val="005C052D"/>
    <w:rsid w:val="005C2FC2"/>
    <w:rsid w:val="005D01FA"/>
    <w:rsid w:val="005D1E44"/>
    <w:rsid w:val="005D5F54"/>
    <w:rsid w:val="005E5C83"/>
    <w:rsid w:val="0060791C"/>
    <w:rsid w:val="006155B3"/>
    <w:rsid w:val="0061714C"/>
    <w:rsid w:val="006300F7"/>
    <w:rsid w:val="006305AC"/>
    <w:rsid w:val="00636C78"/>
    <w:rsid w:val="0064346B"/>
    <w:rsid w:val="00651E39"/>
    <w:rsid w:val="00653E17"/>
    <w:rsid w:val="00653EFD"/>
    <w:rsid w:val="00654CDD"/>
    <w:rsid w:val="0066121E"/>
    <w:rsid w:val="006750A5"/>
    <w:rsid w:val="00690F65"/>
    <w:rsid w:val="006A08E8"/>
    <w:rsid w:val="006A0916"/>
    <w:rsid w:val="006A4C72"/>
    <w:rsid w:val="006B0876"/>
    <w:rsid w:val="006C0702"/>
    <w:rsid w:val="006C56B5"/>
    <w:rsid w:val="006D61E9"/>
    <w:rsid w:val="006D622E"/>
    <w:rsid w:val="006D79A8"/>
    <w:rsid w:val="006E25E6"/>
    <w:rsid w:val="006E4457"/>
    <w:rsid w:val="006E7B2E"/>
    <w:rsid w:val="007026E8"/>
    <w:rsid w:val="00705BF6"/>
    <w:rsid w:val="00710F04"/>
    <w:rsid w:val="00711812"/>
    <w:rsid w:val="0072353B"/>
    <w:rsid w:val="007268AF"/>
    <w:rsid w:val="00736900"/>
    <w:rsid w:val="007473B1"/>
    <w:rsid w:val="00747B03"/>
    <w:rsid w:val="007537D2"/>
    <w:rsid w:val="007575B6"/>
    <w:rsid w:val="007817DC"/>
    <w:rsid w:val="007912A2"/>
    <w:rsid w:val="007A709C"/>
    <w:rsid w:val="007B1530"/>
    <w:rsid w:val="007B3C81"/>
    <w:rsid w:val="007C32A8"/>
    <w:rsid w:val="007D67CA"/>
    <w:rsid w:val="007E08B4"/>
    <w:rsid w:val="007E668F"/>
    <w:rsid w:val="007F0347"/>
    <w:rsid w:val="007F5B63"/>
    <w:rsid w:val="00803A0A"/>
    <w:rsid w:val="00804D9E"/>
    <w:rsid w:val="00807783"/>
    <w:rsid w:val="00813347"/>
    <w:rsid w:val="00813940"/>
    <w:rsid w:val="00824BD5"/>
    <w:rsid w:val="00826362"/>
    <w:rsid w:val="0082687F"/>
    <w:rsid w:val="00827F75"/>
    <w:rsid w:val="008359C0"/>
    <w:rsid w:val="008372D2"/>
    <w:rsid w:val="00837E69"/>
    <w:rsid w:val="00841697"/>
    <w:rsid w:val="00846CB9"/>
    <w:rsid w:val="008528FB"/>
    <w:rsid w:val="008566AA"/>
    <w:rsid w:val="00866B7A"/>
    <w:rsid w:val="0087519D"/>
    <w:rsid w:val="008842CF"/>
    <w:rsid w:val="008902DC"/>
    <w:rsid w:val="00895A9B"/>
    <w:rsid w:val="008A1E6E"/>
    <w:rsid w:val="008A2279"/>
    <w:rsid w:val="008A6453"/>
    <w:rsid w:val="008C024F"/>
    <w:rsid w:val="008C2CFC"/>
    <w:rsid w:val="008D2BE7"/>
    <w:rsid w:val="008D388E"/>
    <w:rsid w:val="008D5C74"/>
    <w:rsid w:val="008E2C4C"/>
    <w:rsid w:val="008E3054"/>
    <w:rsid w:val="008E4856"/>
    <w:rsid w:val="00900508"/>
    <w:rsid w:val="00912DC8"/>
    <w:rsid w:val="00925D06"/>
    <w:rsid w:val="00926250"/>
    <w:rsid w:val="009419E4"/>
    <w:rsid w:val="009423D1"/>
    <w:rsid w:val="009475DC"/>
    <w:rsid w:val="009510FC"/>
    <w:rsid w:val="0095351B"/>
    <w:rsid w:val="0095680B"/>
    <w:rsid w:val="00957234"/>
    <w:rsid w:val="009610F1"/>
    <w:rsid w:val="009650E3"/>
    <w:rsid w:val="009666DD"/>
    <w:rsid w:val="00967B93"/>
    <w:rsid w:val="0097477A"/>
    <w:rsid w:val="009837DE"/>
    <w:rsid w:val="00995CEE"/>
    <w:rsid w:val="009A6BBE"/>
    <w:rsid w:val="009B1EE7"/>
    <w:rsid w:val="009B29FA"/>
    <w:rsid w:val="009C0590"/>
    <w:rsid w:val="009C5084"/>
    <w:rsid w:val="009C5BC7"/>
    <w:rsid w:val="009C7862"/>
    <w:rsid w:val="009D090F"/>
    <w:rsid w:val="009D5A40"/>
    <w:rsid w:val="009D6CCF"/>
    <w:rsid w:val="009E3070"/>
    <w:rsid w:val="009F6348"/>
    <w:rsid w:val="009F6974"/>
    <w:rsid w:val="00A04D38"/>
    <w:rsid w:val="00A24AC9"/>
    <w:rsid w:val="00A25770"/>
    <w:rsid w:val="00A31464"/>
    <w:rsid w:val="00A31B16"/>
    <w:rsid w:val="00A33613"/>
    <w:rsid w:val="00A40E40"/>
    <w:rsid w:val="00A4613D"/>
    <w:rsid w:val="00A47A8D"/>
    <w:rsid w:val="00A50B20"/>
    <w:rsid w:val="00A525EB"/>
    <w:rsid w:val="00A52F49"/>
    <w:rsid w:val="00A52F63"/>
    <w:rsid w:val="00A57519"/>
    <w:rsid w:val="00A66A21"/>
    <w:rsid w:val="00A91122"/>
    <w:rsid w:val="00AA4EA4"/>
    <w:rsid w:val="00AA6827"/>
    <w:rsid w:val="00AA7640"/>
    <w:rsid w:val="00AC21A6"/>
    <w:rsid w:val="00AC66DD"/>
    <w:rsid w:val="00AC6C7E"/>
    <w:rsid w:val="00AD1C23"/>
    <w:rsid w:val="00B17BB1"/>
    <w:rsid w:val="00B22D6A"/>
    <w:rsid w:val="00B26C67"/>
    <w:rsid w:val="00B33201"/>
    <w:rsid w:val="00B4158A"/>
    <w:rsid w:val="00B5120C"/>
    <w:rsid w:val="00B6466C"/>
    <w:rsid w:val="00B65E38"/>
    <w:rsid w:val="00B75DC1"/>
    <w:rsid w:val="00B91623"/>
    <w:rsid w:val="00B92807"/>
    <w:rsid w:val="00B92DD8"/>
    <w:rsid w:val="00B94E8A"/>
    <w:rsid w:val="00BA5312"/>
    <w:rsid w:val="00BA5608"/>
    <w:rsid w:val="00BB1B5D"/>
    <w:rsid w:val="00BB4428"/>
    <w:rsid w:val="00BB7796"/>
    <w:rsid w:val="00BC22C7"/>
    <w:rsid w:val="00BC2CD3"/>
    <w:rsid w:val="00BD195A"/>
    <w:rsid w:val="00BD6EFF"/>
    <w:rsid w:val="00BE2856"/>
    <w:rsid w:val="00BE35AA"/>
    <w:rsid w:val="00BE5C4D"/>
    <w:rsid w:val="00BE5F76"/>
    <w:rsid w:val="00BF5C1D"/>
    <w:rsid w:val="00C04040"/>
    <w:rsid w:val="00C07240"/>
    <w:rsid w:val="00C14078"/>
    <w:rsid w:val="00C1750E"/>
    <w:rsid w:val="00C21603"/>
    <w:rsid w:val="00C26A23"/>
    <w:rsid w:val="00C316EE"/>
    <w:rsid w:val="00C33074"/>
    <w:rsid w:val="00C33D3E"/>
    <w:rsid w:val="00C33FFE"/>
    <w:rsid w:val="00C37229"/>
    <w:rsid w:val="00C45756"/>
    <w:rsid w:val="00C466BD"/>
    <w:rsid w:val="00C55F9E"/>
    <w:rsid w:val="00C57C4D"/>
    <w:rsid w:val="00C76325"/>
    <w:rsid w:val="00C86908"/>
    <w:rsid w:val="00C9778F"/>
    <w:rsid w:val="00CA70AA"/>
    <w:rsid w:val="00CA77F0"/>
    <w:rsid w:val="00CA7D42"/>
    <w:rsid w:val="00CC1B92"/>
    <w:rsid w:val="00CD42EE"/>
    <w:rsid w:val="00CE1E3D"/>
    <w:rsid w:val="00CE5518"/>
    <w:rsid w:val="00D00710"/>
    <w:rsid w:val="00D0472A"/>
    <w:rsid w:val="00D053FA"/>
    <w:rsid w:val="00D114A1"/>
    <w:rsid w:val="00D129E1"/>
    <w:rsid w:val="00D14537"/>
    <w:rsid w:val="00D245F8"/>
    <w:rsid w:val="00D3261D"/>
    <w:rsid w:val="00D328FB"/>
    <w:rsid w:val="00D34C51"/>
    <w:rsid w:val="00D3699A"/>
    <w:rsid w:val="00D45DEC"/>
    <w:rsid w:val="00D46A02"/>
    <w:rsid w:val="00D55ACD"/>
    <w:rsid w:val="00D564A6"/>
    <w:rsid w:val="00D56E2B"/>
    <w:rsid w:val="00D6716A"/>
    <w:rsid w:val="00D70D0E"/>
    <w:rsid w:val="00D8585E"/>
    <w:rsid w:val="00D86871"/>
    <w:rsid w:val="00D87BC8"/>
    <w:rsid w:val="00D939C4"/>
    <w:rsid w:val="00D976BA"/>
    <w:rsid w:val="00DA55F8"/>
    <w:rsid w:val="00DB476E"/>
    <w:rsid w:val="00DC3F0A"/>
    <w:rsid w:val="00DD282C"/>
    <w:rsid w:val="00DD5990"/>
    <w:rsid w:val="00DE7979"/>
    <w:rsid w:val="00DF163C"/>
    <w:rsid w:val="00E01578"/>
    <w:rsid w:val="00E06811"/>
    <w:rsid w:val="00E06F8E"/>
    <w:rsid w:val="00E141BE"/>
    <w:rsid w:val="00E15168"/>
    <w:rsid w:val="00E163E8"/>
    <w:rsid w:val="00E26AED"/>
    <w:rsid w:val="00E32642"/>
    <w:rsid w:val="00E35207"/>
    <w:rsid w:val="00E4112B"/>
    <w:rsid w:val="00E46589"/>
    <w:rsid w:val="00E46FC4"/>
    <w:rsid w:val="00E559A7"/>
    <w:rsid w:val="00E62443"/>
    <w:rsid w:val="00E71843"/>
    <w:rsid w:val="00E73AB8"/>
    <w:rsid w:val="00E76363"/>
    <w:rsid w:val="00E87600"/>
    <w:rsid w:val="00E90A60"/>
    <w:rsid w:val="00E91530"/>
    <w:rsid w:val="00E9222D"/>
    <w:rsid w:val="00E93548"/>
    <w:rsid w:val="00E943D8"/>
    <w:rsid w:val="00E95AD3"/>
    <w:rsid w:val="00EA37B6"/>
    <w:rsid w:val="00ED213F"/>
    <w:rsid w:val="00ED47F7"/>
    <w:rsid w:val="00ED6837"/>
    <w:rsid w:val="00EE5222"/>
    <w:rsid w:val="00EE7E09"/>
    <w:rsid w:val="00EF6711"/>
    <w:rsid w:val="00F00E1A"/>
    <w:rsid w:val="00F0223C"/>
    <w:rsid w:val="00F0515C"/>
    <w:rsid w:val="00F15236"/>
    <w:rsid w:val="00F30EFC"/>
    <w:rsid w:val="00F3235D"/>
    <w:rsid w:val="00F32393"/>
    <w:rsid w:val="00F515E7"/>
    <w:rsid w:val="00F56BCA"/>
    <w:rsid w:val="00F64E03"/>
    <w:rsid w:val="00F70B7A"/>
    <w:rsid w:val="00F74A79"/>
    <w:rsid w:val="00F77EBF"/>
    <w:rsid w:val="00F8244A"/>
    <w:rsid w:val="00F878BD"/>
    <w:rsid w:val="00F93942"/>
    <w:rsid w:val="00F960C3"/>
    <w:rsid w:val="00F97F51"/>
    <w:rsid w:val="00FA05C4"/>
    <w:rsid w:val="00FB26AD"/>
    <w:rsid w:val="00FB5763"/>
    <w:rsid w:val="00FC035F"/>
    <w:rsid w:val="00FE582C"/>
    <w:rsid w:val="00FE7401"/>
    <w:rsid w:val="00FE79F5"/>
    <w:rsid w:val="00FF4B13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7CC70E"/>
  <w14:defaultImageDpi w14:val="96"/>
  <w15:docId w15:val="{8D6BA020-BF8C-45CF-A69D-286432D7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380FD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0F17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2C567A" w:themeColor="accent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AC6C7E"/>
    <w:pPr>
      <w:kinsoku w:val="0"/>
      <w:overflowPunct w:val="0"/>
      <w:spacing w:before="360" w:after="120"/>
      <w:outlineLvl w:val="1"/>
    </w:pPr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310F17"/>
    <w:rPr>
      <w:rFonts w:asciiTheme="majorHAnsi" w:hAnsiTheme="majorHAnsi" w:cs="Georgia"/>
      <w:b/>
      <w:bCs/>
      <w:color w:val="2C567A" w:themeColor="accent1"/>
      <w:sz w:val="28"/>
    </w:rPr>
  </w:style>
  <w:style w:type="paragraph" w:styleId="ListParagraph">
    <w:name w:val="List Paragraph"/>
    <w:basedOn w:val="BodyText"/>
    <w:uiPriority w:val="1"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semiHidden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90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E09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E09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310F17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2C567A" w:themeColor="accent1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310F17"/>
    <w:rPr>
      <w:rFonts w:asciiTheme="majorHAnsi" w:hAnsiTheme="majorHAnsi" w:cs="Georgia"/>
      <w:b/>
      <w:bCs/>
      <w:color w:val="2C567A" w:themeColor="accent1"/>
      <w:sz w:val="48"/>
      <w:szCs w:val="42"/>
    </w:rPr>
  </w:style>
  <w:style w:type="paragraph" w:customStyle="1" w:styleId="Information">
    <w:name w:val="Information"/>
    <w:basedOn w:val="BodyText"/>
    <w:uiPriority w:val="1"/>
    <w:qFormat/>
    <w:rsid w:val="00380FD1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Dates">
    <w:name w:val="Dates"/>
    <w:basedOn w:val="BodyText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666666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222466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NoSpacing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AC6C7E"/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paragraph" w:customStyle="1" w:styleId="Experience">
    <w:name w:val="Experience"/>
    <w:basedOn w:val="Normal"/>
    <w:qFormat/>
    <w:rsid w:val="00AC6C7E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Bullet">
    <w:name w:val="List Bullet"/>
    <w:basedOn w:val="Normal"/>
    <w:uiPriority w:val="99"/>
    <w:rsid w:val="00AC6C7E"/>
    <w:pPr>
      <w:numPr>
        <w:numId w:val="3"/>
      </w:numPr>
      <w:contextualSpacing/>
    </w:pPr>
    <w:rPr>
      <w:rFonts w:cs="Georgia"/>
    </w:rPr>
  </w:style>
  <w:style w:type="paragraph" w:customStyle="1" w:styleId="SchoolName">
    <w:name w:val="School Name"/>
    <w:basedOn w:val="Normal"/>
    <w:uiPriority w:val="1"/>
    <w:rsid w:val="00353B60"/>
    <w:rPr>
      <w:rFonts w:cs="Calibri"/>
      <w:b/>
    </w:rPr>
  </w:style>
  <w:style w:type="character" w:styleId="Hyperlink">
    <w:name w:val="Hyperlink"/>
    <w:rsid w:val="002E50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3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3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285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A0E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6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6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6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6D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55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oder\AppData\Roaming\Microsoft\Templates\Blue%20spheres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ne.HSW00112\AppData\Local\Microsoft\Windows\INetCache\Content.Outlook\SMHYUAIV\2011-2025%20FTLE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ne.HSW00112\AppData\Local\Microsoft\Windows\INetCache\Content.Outlook\SMHYUAIV\2011-2025%20FTLE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Commissioned Officers  - Rate Per 1,000 in Population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Sheet1!$A$2:$A$16</c:f>
              <c:numCache>
                <c:formatCode>General</c:formatCode>
                <c:ptCount val="1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</c:numCache>
            </c:numRef>
          </c:cat>
          <c:val>
            <c:numRef>
              <c:f>Sheet1!$B$2:$B$16</c:f>
              <c:numCache>
                <c:formatCode>0.00</c:formatCode>
                <c:ptCount val="15"/>
                <c:pt idx="0">
                  <c:v>1.5066332798257709</c:v>
                </c:pt>
                <c:pt idx="1">
                  <c:v>1.4720716268658884</c:v>
                </c:pt>
                <c:pt idx="2">
                  <c:v>1.4711202600191757</c:v>
                </c:pt>
                <c:pt idx="3">
                  <c:v>1.465182622772101</c:v>
                </c:pt>
                <c:pt idx="4">
                  <c:v>1.4497971107634662</c:v>
                </c:pt>
                <c:pt idx="5">
                  <c:v>1.4475354837003123</c:v>
                </c:pt>
                <c:pt idx="6">
                  <c:v>1.4525483915086916</c:v>
                </c:pt>
                <c:pt idx="7">
                  <c:v>1.4411847444334571</c:v>
                </c:pt>
                <c:pt idx="8">
                  <c:v>1.453703669537614</c:v>
                </c:pt>
                <c:pt idx="9">
                  <c:v>1.4317872692673446</c:v>
                </c:pt>
                <c:pt idx="10">
                  <c:v>1.3537073360269916</c:v>
                </c:pt>
                <c:pt idx="11">
                  <c:v>1.3401304799415619</c:v>
                </c:pt>
                <c:pt idx="12">
                  <c:v>1.3477574149801914</c:v>
                </c:pt>
                <c:pt idx="13" formatCode="General">
                  <c:v>1.38</c:v>
                </c:pt>
                <c:pt idx="14" formatCode="General">
                  <c:v>1.37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8C-49D1-8C9B-9A3EA6F501B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642145727"/>
        <c:axId val="1636297551"/>
      </c:barChart>
      <c:catAx>
        <c:axId val="16421457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6297551"/>
        <c:crosses val="autoZero"/>
        <c:auto val="1"/>
        <c:lblAlgn val="ctr"/>
        <c:lblOffset val="100"/>
        <c:noMultiLvlLbl val="0"/>
      </c:catAx>
      <c:valAx>
        <c:axId val="1636297551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16421457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b="1"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Commissioned Officers - Rate Per 1,000 in Population</a:t>
            </a:r>
          </a:p>
        </c:rich>
      </c:tx>
      <c:layout>
        <c:manualLayout>
          <c:xMode val="edge"/>
          <c:yMode val="edge"/>
          <c:x val="0.1830053340106679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2258064516129031E-2"/>
          <c:y val="3.5892323030908634E-4"/>
          <c:w val="0.95268817204301071"/>
          <c:h val="0.75956822446047678"/>
        </c:manualLayout>
      </c:layout>
      <c:lineChart>
        <c:grouping val="standard"/>
        <c:varyColors val="0"/>
        <c:ser>
          <c:idx val="0"/>
          <c:order val="0"/>
          <c:spPr>
            <a:ln w="5080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0"/>
              <c:layout>
                <c:manualLayout>
                  <c:x val="-2.4817204301075268E-2"/>
                  <c:y val="-6.7021168437918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76-48F6-BBEE-FAC42C365E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Sheet1!$A$2:$A$16</c:f>
              <c:numCache>
                <c:formatCode>General</c:formatCode>
                <c:ptCount val="1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</c:numCache>
            </c:numRef>
          </c:cat>
          <c:val>
            <c:numRef>
              <c:f>Sheet1!$B$2:$B$16</c:f>
              <c:numCache>
                <c:formatCode>0.00</c:formatCode>
                <c:ptCount val="15"/>
                <c:pt idx="0">
                  <c:v>1.5066332798257709</c:v>
                </c:pt>
                <c:pt idx="1">
                  <c:v>1.4720716268658884</c:v>
                </c:pt>
                <c:pt idx="2">
                  <c:v>1.4711202600191757</c:v>
                </c:pt>
                <c:pt idx="3">
                  <c:v>1.465182622772101</c:v>
                </c:pt>
                <c:pt idx="4">
                  <c:v>1.4497971107634662</c:v>
                </c:pt>
                <c:pt idx="5">
                  <c:v>1.4475354837003123</c:v>
                </c:pt>
                <c:pt idx="6">
                  <c:v>1.4525483915086916</c:v>
                </c:pt>
                <c:pt idx="7">
                  <c:v>1.4411847444334571</c:v>
                </c:pt>
                <c:pt idx="8">
                  <c:v>1.453703669537614</c:v>
                </c:pt>
                <c:pt idx="9">
                  <c:v>1.4317872692673446</c:v>
                </c:pt>
                <c:pt idx="10">
                  <c:v>1.3537073360269916</c:v>
                </c:pt>
                <c:pt idx="11">
                  <c:v>1.3401304799415619</c:v>
                </c:pt>
                <c:pt idx="12">
                  <c:v>1.3477574149801914</c:v>
                </c:pt>
                <c:pt idx="13" formatCode="General">
                  <c:v>1.38</c:v>
                </c:pt>
                <c:pt idx="14" formatCode="General">
                  <c:v>1.37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876-48F6-BBEE-FAC42C365E8D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70494639"/>
        <c:axId val="270495119"/>
      </c:lineChart>
      <c:catAx>
        <c:axId val="270494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0495119"/>
        <c:crosses val="autoZero"/>
        <c:auto val="1"/>
        <c:lblAlgn val="ctr"/>
        <c:lblOffset val="100"/>
        <c:noMultiLvlLbl val="0"/>
      </c:catAx>
      <c:valAx>
        <c:axId val="270495119"/>
        <c:scaling>
          <c:orientation val="minMax"/>
          <c:min val="1.3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270494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b="1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e9b8407f-6d41-4258-a8bf-4cca3a47ca32" xsi:nil="true"/>
    <TaxCatchAll xmlns="eb86a636-dfa2-40d4-912c-e8556d878864" xsi:nil="true"/>
    <lcf76f155ced4ddcb4097134ff3c332f xmlns="e9b8407f-6d41-4258-a8bf-4cca3a47ca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063AC45FFC24E9CCD3E8A46A10E1D" ma:contentTypeVersion="17" ma:contentTypeDescription="Create a new document." ma:contentTypeScope="" ma:versionID="d977c09e1d6e7d91b85164eb745980fe">
  <xsd:schema xmlns:xsd="http://www.w3.org/2001/XMLSchema" xmlns:xs="http://www.w3.org/2001/XMLSchema" xmlns:p="http://schemas.microsoft.com/office/2006/metadata/properties" xmlns:ns2="eb86a636-dfa2-40d4-912c-e8556d878864" xmlns:ns3="e9b8407f-6d41-4258-a8bf-4cca3a47ca32" targetNamespace="http://schemas.microsoft.com/office/2006/metadata/properties" ma:root="true" ma:fieldsID="881aed5256fe6ee62b24d68c52c8548f" ns2:_="" ns3:_="">
    <xsd:import namespace="eb86a636-dfa2-40d4-912c-e8556d878864"/>
    <xsd:import namespace="e9b8407f-6d41-4258-a8bf-4cca3a47ca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6a636-dfa2-40d4-912c-e8556d8788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ad3d8b-c8a1-4aee-a06c-11fc688d5d3c}" ma:internalName="TaxCatchAll" ma:showField="CatchAllData" ma:web="eb86a636-dfa2-40d4-912c-e8556d878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8407f-6d41-4258-a8bf-4cca3a47c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f3e144-3a22-4daf-ba22-89434bf8b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e9b8407f-6d41-4258-a8bf-4cca3a47ca32"/>
    <ds:schemaRef ds:uri="eb86a636-dfa2-40d4-912c-e8556d878864"/>
  </ds:schemaRefs>
</ds:datastoreItem>
</file>

<file path=customXml/itemProps2.xml><?xml version="1.0" encoding="utf-8"?>
<ds:datastoreItem xmlns:ds="http://schemas.openxmlformats.org/officeDocument/2006/customXml" ds:itemID="{8FD46D36-10B4-44CE-B4A1-687268DB08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FA098-74F7-44BA-A78B-08C24ACB6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6a636-dfa2-40d4-912c-e8556d878864"/>
    <ds:schemaRef ds:uri="e9b8407f-6d41-4258-a8bf-4cca3a47c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resume</Template>
  <TotalTime>1</TotalTime>
  <Pages>2</Pages>
  <Words>264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McMahan</dc:creator>
  <cp:keywords/>
  <dc:description/>
  <cp:lastModifiedBy>Barbara Smith</cp:lastModifiedBy>
  <cp:revision>2</cp:revision>
  <dcterms:created xsi:type="dcterms:W3CDTF">2026-02-19T16:01:00Z</dcterms:created>
  <dcterms:modified xsi:type="dcterms:W3CDTF">2026-02-19T16:01:00Z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0x0101005C6063AC45FFC24E9CCD3E8A46A10E1D</vt:lpwstr>
  </property>
  <property fmtid="{D5CDD505-2E9C-101B-9397-08002B2CF9AE}" pid="3" name="MediaServiceImageTags">
    <vt:lpwstr/>
  </property>
</Properties>
</file>