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B06D" w14:textId="77777777" w:rsidR="0042227D" w:rsidRDefault="0042227D" w:rsidP="0042227D">
      <w:pPr>
        <w:rPr>
          <w:u w:val="single"/>
        </w:rPr>
      </w:pPr>
      <w:r w:rsidRPr="00E71364">
        <w:rPr>
          <w:b/>
          <w:bCs/>
        </w:rPr>
        <w:t>City #1’s legal advisor interpretations of key provisions of SB 6002</w:t>
      </w:r>
      <w:r w:rsidRPr="00E71364">
        <w:rPr>
          <w:b/>
          <w:bCs/>
          <w:highlight w:val="yellow"/>
        </w:rPr>
        <w:t xml:space="preserve"> </w:t>
      </w:r>
      <w:r>
        <w:rPr>
          <w:highlight w:val="yellow"/>
        </w:rPr>
        <w:br/>
      </w:r>
    </w:p>
    <w:p w14:paraId="1F5028F4" w14:textId="77777777" w:rsidR="0042227D" w:rsidRDefault="0042227D" w:rsidP="0042227D">
      <w:r w:rsidRPr="005B47CD">
        <w:rPr>
          <w:u w:val="single"/>
        </w:rPr>
        <w:t>ALPRs Subject to Bill – Flock and Axon.</w:t>
      </w:r>
      <w:r w:rsidRPr="0045349B">
        <w:t xml:space="preserve"> If a device takes video and converts it to computer-readable license plate characters or associated metadata, or are indexed, made </w:t>
      </w:r>
      <w:proofErr w:type="gramStart"/>
      <w:r w:rsidRPr="0045349B">
        <w:t>searchable, or</w:t>
      </w:r>
      <w:proofErr w:type="gramEnd"/>
      <w:r w:rsidRPr="0045349B">
        <w:t xml:space="preserve"> analyzed by license plate number, or vehicle for the purpose of identifying, tracking, or reconstructing a vehicle’s location, the system is subject to the provisions of this bill. (Sec. 2(3) and (4)). For that reason, the ALPR function of Axon’s dashcams and/or BWCs is comparable to the Flock system for purposes of this bill’s obligations.</w:t>
      </w:r>
    </w:p>
    <w:p w14:paraId="613FED15" w14:textId="77777777" w:rsidR="0042227D" w:rsidRDefault="0042227D" w:rsidP="0042227D">
      <w:pPr>
        <w:pStyle w:val="ListParagraph"/>
      </w:pPr>
    </w:p>
    <w:p w14:paraId="6C7733AA" w14:textId="77777777" w:rsidR="0042227D" w:rsidRDefault="0042227D" w:rsidP="0042227D">
      <w:pPr>
        <w:pStyle w:val="ListParagraph"/>
        <w:numPr>
          <w:ilvl w:val="0"/>
          <w:numId w:val="1"/>
        </w:numPr>
      </w:pPr>
      <w:r w:rsidRPr="005B47CD">
        <w:rPr>
          <w:u w:val="single"/>
        </w:rPr>
        <w:t>Authorized Uses Limited.</w:t>
      </w:r>
      <w:r w:rsidRPr="0045349B">
        <w:t xml:space="preserve"> ALPR data systems may only be searched for the following reasons—no other uses are authorized: (Sec. 3)</w:t>
      </w:r>
    </w:p>
    <w:p w14:paraId="3405F652" w14:textId="77777777" w:rsidR="0042227D" w:rsidRDefault="0042227D" w:rsidP="0042227D">
      <w:pPr>
        <w:pStyle w:val="ListParagraph"/>
        <w:numPr>
          <w:ilvl w:val="1"/>
          <w:numId w:val="1"/>
        </w:numPr>
      </w:pPr>
      <w:r w:rsidRPr="0045349B">
        <w:t>To compare ALPR data with data in the following limited databases: (Sec. 3(2)(a)(</w:t>
      </w:r>
      <w:proofErr w:type="spellStart"/>
      <w:r w:rsidRPr="0045349B">
        <w:t>i</w:t>
      </w:r>
      <w:proofErr w:type="spellEnd"/>
      <w:r w:rsidRPr="0045349B">
        <w:t>))</w:t>
      </w:r>
    </w:p>
    <w:p w14:paraId="63C7817A" w14:textId="77777777" w:rsidR="0042227D" w:rsidRDefault="0042227D" w:rsidP="0042227D">
      <w:pPr>
        <w:pStyle w:val="ListParagraph"/>
        <w:numPr>
          <w:ilvl w:val="2"/>
          <w:numId w:val="1"/>
        </w:numPr>
      </w:pPr>
      <w:r w:rsidRPr="0045349B">
        <w:t>Department of Licensing (state or federal</w:t>
      </w:r>
      <w:proofErr w:type="gramStart"/>
      <w:r w:rsidRPr="0045349B">
        <w:t>);</w:t>
      </w:r>
      <w:proofErr w:type="gramEnd"/>
    </w:p>
    <w:p w14:paraId="77BF0F6A" w14:textId="77777777" w:rsidR="0042227D" w:rsidRDefault="0042227D" w:rsidP="0042227D">
      <w:pPr>
        <w:pStyle w:val="ListParagraph"/>
        <w:numPr>
          <w:ilvl w:val="2"/>
          <w:numId w:val="1"/>
        </w:numPr>
      </w:pPr>
      <w:r w:rsidRPr="0045349B">
        <w:t>State Criminal Justice Information System (CJIS</w:t>
      </w:r>
      <w:proofErr w:type="gramStart"/>
      <w:r w:rsidRPr="0045349B">
        <w:t>);</w:t>
      </w:r>
      <w:proofErr w:type="gramEnd"/>
    </w:p>
    <w:p w14:paraId="77BF5D80" w14:textId="77777777" w:rsidR="0042227D" w:rsidRDefault="0042227D" w:rsidP="0042227D">
      <w:pPr>
        <w:pStyle w:val="ListParagraph"/>
        <w:numPr>
          <w:ilvl w:val="2"/>
          <w:numId w:val="1"/>
        </w:numPr>
      </w:pPr>
      <w:r w:rsidRPr="0045349B">
        <w:t xml:space="preserve">FBI Kidnappings and Missing Persons </w:t>
      </w:r>
      <w:proofErr w:type="gramStart"/>
      <w:r w:rsidRPr="0045349B">
        <w:t>Lists;</w:t>
      </w:r>
      <w:proofErr w:type="gramEnd"/>
    </w:p>
    <w:p w14:paraId="0372EB6B" w14:textId="77777777" w:rsidR="0042227D" w:rsidRDefault="0042227D" w:rsidP="0042227D">
      <w:pPr>
        <w:pStyle w:val="ListParagraph"/>
        <w:numPr>
          <w:ilvl w:val="2"/>
          <w:numId w:val="1"/>
        </w:numPr>
      </w:pPr>
      <w:r w:rsidRPr="0045349B">
        <w:t>National Center for Missing and Exploited Children List; and</w:t>
      </w:r>
    </w:p>
    <w:p w14:paraId="6ABE1B58" w14:textId="77777777" w:rsidR="0042227D" w:rsidRDefault="0042227D" w:rsidP="0042227D">
      <w:pPr>
        <w:pStyle w:val="ListParagraph"/>
        <w:numPr>
          <w:ilvl w:val="2"/>
          <w:numId w:val="1"/>
        </w:numPr>
      </w:pPr>
      <w:r w:rsidRPr="0045349B">
        <w:t>Washington Missing Persons List.</w:t>
      </w:r>
    </w:p>
    <w:p w14:paraId="1A2BF702" w14:textId="77777777" w:rsidR="0042227D" w:rsidRDefault="0042227D" w:rsidP="0042227D">
      <w:pPr>
        <w:pStyle w:val="ListParagraph"/>
        <w:numPr>
          <w:ilvl w:val="1"/>
          <w:numId w:val="1"/>
        </w:numPr>
      </w:pPr>
      <w:r w:rsidRPr="0045349B">
        <w:t>Compare license plate numbers or vehicle characteristics upon an officer’s determination that the license plate numbers or vehicle characteristics are relevant to an investigation of a vehicle that is: (Sec. 3(2)(a)(ii))</w:t>
      </w:r>
    </w:p>
    <w:p w14:paraId="23AFBAC1" w14:textId="77777777" w:rsidR="0042227D" w:rsidRDefault="0042227D" w:rsidP="0042227D">
      <w:pPr>
        <w:pStyle w:val="ListParagraph"/>
        <w:numPr>
          <w:ilvl w:val="2"/>
          <w:numId w:val="1"/>
        </w:numPr>
      </w:pPr>
      <w:proofErr w:type="gramStart"/>
      <w:r w:rsidRPr="0045349B">
        <w:t>Stolen;</w:t>
      </w:r>
      <w:proofErr w:type="gramEnd"/>
    </w:p>
    <w:p w14:paraId="279C4C57" w14:textId="77777777" w:rsidR="0042227D" w:rsidRDefault="0042227D" w:rsidP="0042227D">
      <w:pPr>
        <w:pStyle w:val="ListParagraph"/>
        <w:numPr>
          <w:ilvl w:val="2"/>
          <w:numId w:val="1"/>
        </w:numPr>
      </w:pPr>
      <w:r w:rsidRPr="0045349B">
        <w:t xml:space="preserve">Associated with a missing or endangered </w:t>
      </w:r>
      <w:proofErr w:type="gramStart"/>
      <w:r w:rsidRPr="0045349B">
        <w:t>person;</w:t>
      </w:r>
      <w:proofErr w:type="gramEnd"/>
    </w:p>
    <w:p w14:paraId="3229715C" w14:textId="77777777" w:rsidR="0042227D" w:rsidRDefault="0042227D" w:rsidP="0042227D">
      <w:pPr>
        <w:pStyle w:val="ListParagraph"/>
        <w:numPr>
          <w:ilvl w:val="2"/>
          <w:numId w:val="1"/>
        </w:numPr>
      </w:pPr>
      <w:r w:rsidRPr="0045349B">
        <w:t>Registered to an individual with an outstanding felony or gross misdemeanor warrant; or</w:t>
      </w:r>
    </w:p>
    <w:p w14:paraId="7AEEA265" w14:textId="77777777" w:rsidR="0042227D" w:rsidRDefault="0042227D" w:rsidP="0042227D">
      <w:pPr>
        <w:pStyle w:val="ListParagraph"/>
        <w:numPr>
          <w:ilvl w:val="2"/>
          <w:numId w:val="1"/>
        </w:numPr>
      </w:pPr>
      <w:r w:rsidRPr="0045349B">
        <w:t>Related to or involved in a felony or gross misdemeanor.</w:t>
      </w:r>
    </w:p>
    <w:p w14:paraId="2FD903F0" w14:textId="77777777" w:rsidR="0042227D" w:rsidRDefault="0042227D" w:rsidP="0042227D">
      <w:pPr>
        <w:pStyle w:val="ListParagraph"/>
        <w:numPr>
          <w:ilvl w:val="1"/>
          <w:numId w:val="1"/>
        </w:numPr>
      </w:pPr>
      <w:r w:rsidRPr="0045349B">
        <w:t>Parking enforcement purposes identified in the bill. (Sec 3(2)(b))</w:t>
      </w:r>
    </w:p>
    <w:p w14:paraId="3378E2C8" w14:textId="77777777" w:rsidR="0042227D" w:rsidRPr="00FA0ADD" w:rsidRDefault="0042227D" w:rsidP="0042227D">
      <w:pPr>
        <w:pStyle w:val="ListParagraph"/>
      </w:pPr>
    </w:p>
    <w:p w14:paraId="3FA0EF45" w14:textId="77777777" w:rsidR="0042227D" w:rsidRDefault="0042227D" w:rsidP="0042227D">
      <w:pPr>
        <w:pStyle w:val="ListParagraph"/>
        <w:numPr>
          <w:ilvl w:val="0"/>
          <w:numId w:val="1"/>
        </w:numPr>
      </w:pPr>
      <w:r w:rsidRPr="009D645F">
        <w:rPr>
          <w:u w:val="single"/>
        </w:rPr>
        <w:t>ALPR Data Inadmissible, When</w:t>
      </w:r>
      <w:r w:rsidRPr="0045349B">
        <w:t xml:space="preserve">. ALPR data is inadmissible in any court proceeding when ALPR data is obtained from a knowing violation of Sec. 3 of the bill (i.e. for </w:t>
      </w:r>
      <w:proofErr w:type="gramStart"/>
      <w:r w:rsidRPr="0045349B">
        <w:t>a use</w:t>
      </w:r>
      <w:proofErr w:type="gramEnd"/>
      <w:r w:rsidRPr="0045349B">
        <w:t xml:space="preserve"> other than those expressly identified above. (Sec. 6).</w:t>
      </w:r>
    </w:p>
    <w:p w14:paraId="1C07F107" w14:textId="77777777" w:rsidR="0042227D" w:rsidRPr="009D645F" w:rsidRDefault="0042227D" w:rsidP="0042227D">
      <w:pPr>
        <w:pStyle w:val="ListParagraph"/>
      </w:pPr>
    </w:p>
    <w:p w14:paraId="77B64D8A" w14:textId="77777777" w:rsidR="0042227D" w:rsidRDefault="0042227D" w:rsidP="0042227D">
      <w:pPr>
        <w:pStyle w:val="ListParagraph"/>
        <w:numPr>
          <w:ilvl w:val="0"/>
          <w:numId w:val="1"/>
        </w:numPr>
      </w:pPr>
      <w:r w:rsidRPr="00FA0ADD">
        <w:rPr>
          <w:u w:val="single"/>
        </w:rPr>
        <w:t>Register Existing or New ALPR Systems.</w:t>
      </w:r>
      <w:r w:rsidRPr="0045349B">
        <w:t xml:space="preserve"> </w:t>
      </w:r>
      <w:r>
        <w:t>The city</w:t>
      </w:r>
      <w:r w:rsidRPr="0045349B">
        <w:t xml:space="preserve"> must register its system with the state Attorney General’s Office, within 180 days of the governor signing the bill, on forms approved by the AGO. On this form, “the head of the agency” shall certify that the system meets all the requirements of ESSB 6002, and that the agency has a </w:t>
      </w:r>
      <w:r w:rsidRPr="0045349B">
        <w:lastRenderedPageBreak/>
        <w:t>policy in effect governing its use and a documented training process for officers who will use it. (Sec 3(5))</w:t>
      </w:r>
    </w:p>
    <w:p w14:paraId="27C9A996" w14:textId="77777777" w:rsidR="0042227D" w:rsidRDefault="0042227D" w:rsidP="0042227D">
      <w:pPr>
        <w:pStyle w:val="ListParagraph"/>
        <w:numPr>
          <w:ilvl w:val="1"/>
          <w:numId w:val="1"/>
        </w:numPr>
      </w:pPr>
      <w:r w:rsidRPr="0045349B">
        <w:t xml:space="preserve">The “head of the agency” is not defined. If “agency” refers to the </w:t>
      </w:r>
      <w:proofErr w:type="gramStart"/>
      <w:r w:rsidRPr="0045349B">
        <w:t>City</w:t>
      </w:r>
      <w:proofErr w:type="gramEnd"/>
      <w:r w:rsidRPr="0045349B">
        <w:t xml:space="preserve">, the Mayor would be the head; if “agency” refers to the Police Department, the Police Chief would be the head. Clarification should, hopefully, be provided for on the AGO form once it’s developed or in </w:t>
      </w:r>
      <w:proofErr w:type="gramStart"/>
      <w:r w:rsidRPr="0045349B">
        <w:t>a later</w:t>
      </w:r>
      <w:proofErr w:type="gramEnd"/>
      <w:r w:rsidRPr="0045349B">
        <w:t xml:space="preserve"> administrative regulation (WAC). (Sec. 3(5)).</w:t>
      </w:r>
    </w:p>
    <w:p w14:paraId="7E7B9C1B" w14:textId="77777777" w:rsidR="0042227D" w:rsidRDefault="0042227D" w:rsidP="0042227D">
      <w:pPr>
        <w:pStyle w:val="ListParagraph"/>
        <w:numPr>
          <w:ilvl w:val="1"/>
          <w:numId w:val="1"/>
        </w:numPr>
      </w:pPr>
      <w:r w:rsidRPr="0045349B">
        <w:t xml:space="preserve">The bill says that “agencies may not use [ALPR] systems that have not been properly registered.” I interpret this to mean that if the </w:t>
      </w:r>
      <w:proofErr w:type="gramStart"/>
      <w:r w:rsidRPr="0045349B">
        <w:t>City</w:t>
      </w:r>
      <w:proofErr w:type="gramEnd"/>
      <w:r w:rsidRPr="0045349B">
        <w:t xml:space="preserve"> does not register its system within this </w:t>
      </w:r>
      <w:proofErr w:type="gramStart"/>
      <w:r w:rsidRPr="0045349B">
        <w:t>180 day</w:t>
      </w:r>
      <w:proofErr w:type="gramEnd"/>
      <w:r w:rsidRPr="0045349B">
        <w:t xml:space="preserve"> </w:t>
      </w:r>
      <w:proofErr w:type="gramStart"/>
      <w:r w:rsidRPr="0045349B">
        <w:t>time period</w:t>
      </w:r>
      <w:proofErr w:type="gramEnd"/>
      <w:r w:rsidRPr="0045349B">
        <w:t xml:space="preserve">, it cannot use the ALPR system after that date. (Sec. 3(5)). However, the bill does not prohibit existing use during this 180-day period. </w:t>
      </w:r>
    </w:p>
    <w:p w14:paraId="6720B5FC" w14:textId="77777777" w:rsidR="0042227D" w:rsidRDefault="0042227D" w:rsidP="0042227D">
      <w:pPr>
        <w:pStyle w:val="ListParagraph"/>
      </w:pPr>
    </w:p>
    <w:p w14:paraId="6CF28040" w14:textId="77777777" w:rsidR="0042227D" w:rsidRDefault="0042227D" w:rsidP="0042227D">
      <w:pPr>
        <w:pStyle w:val="ListParagraph"/>
        <w:numPr>
          <w:ilvl w:val="0"/>
          <w:numId w:val="1"/>
        </w:numPr>
      </w:pPr>
      <w:r w:rsidRPr="00FA0ADD">
        <w:rPr>
          <w:u w:val="single"/>
        </w:rPr>
        <w:t>Provide AGO w/Updates of Policy Changes after 12/1/2026.</w:t>
      </w:r>
      <w:r w:rsidRPr="0045349B">
        <w:t xml:space="preserve"> After 12/1/2026, whenever an agency modifies or repeals any policies pertaining to use of ALPR systems, the agency shall submit within 60 </w:t>
      </w:r>
      <w:proofErr w:type="gramStart"/>
      <w:r w:rsidRPr="0045349B">
        <w:t>days,</w:t>
      </w:r>
      <w:proofErr w:type="gramEnd"/>
      <w:r w:rsidRPr="0045349B">
        <w:t xml:space="preserve"> notice of such action with copies of any relevant policies to the AGO. (Sec. 7(3)).</w:t>
      </w:r>
    </w:p>
    <w:p w14:paraId="2E2F132F" w14:textId="77777777" w:rsidR="0042227D" w:rsidRPr="00FA0ADD" w:rsidRDefault="0042227D" w:rsidP="0042227D">
      <w:pPr>
        <w:pStyle w:val="ListParagraph"/>
      </w:pPr>
    </w:p>
    <w:p w14:paraId="5EFFB655" w14:textId="77777777" w:rsidR="0042227D" w:rsidRDefault="0042227D" w:rsidP="0042227D">
      <w:pPr>
        <w:pStyle w:val="ListParagraph"/>
        <w:numPr>
          <w:ilvl w:val="0"/>
          <w:numId w:val="1"/>
        </w:numPr>
      </w:pPr>
      <w:r w:rsidRPr="00FA0ADD">
        <w:rPr>
          <w:u w:val="single"/>
        </w:rPr>
        <w:t>AGO Model Policy.</w:t>
      </w:r>
      <w:r w:rsidRPr="0045349B">
        <w:t xml:space="preserve"> By 7/1/2027, the AGO must develop and publish a model policy. (Sec. 7(1)).</w:t>
      </w:r>
    </w:p>
    <w:p w14:paraId="1302C6EE" w14:textId="77777777" w:rsidR="0042227D" w:rsidRDefault="0042227D" w:rsidP="0042227D">
      <w:pPr>
        <w:pStyle w:val="ListParagraph"/>
        <w:numPr>
          <w:ilvl w:val="1"/>
          <w:numId w:val="1"/>
        </w:numPr>
      </w:pPr>
      <w:r w:rsidRPr="0045349B">
        <w:t>By 12/31/2027, the AGO shall publish on its website a report on the requirements of Section 7 of the bill, including copies of model policies. (Sec. 7(4)).</w:t>
      </w:r>
    </w:p>
    <w:p w14:paraId="6C964916" w14:textId="77777777" w:rsidR="0042227D" w:rsidRDefault="0042227D" w:rsidP="0042227D">
      <w:pPr>
        <w:pStyle w:val="ListParagraph"/>
      </w:pPr>
    </w:p>
    <w:p w14:paraId="5C7ECCC6" w14:textId="77777777" w:rsidR="0042227D" w:rsidRDefault="0042227D" w:rsidP="0042227D">
      <w:pPr>
        <w:pStyle w:val="ListParagraph"/>
        <w:numPr>
          <w:ilvl w:val="0"/>
          <w:numId w:val="1"/>
        </w:numPr>
      </w:pPr>
      <w:r w:rsidRPr="005733EB">
        <w:rPr>
          <w:u w:val="single"/>
        </w:rPr>
        <w:t>Agencies Adopt Policies Consistent w/AGO Model by 12/1/2027</w:t>
      </w:r>
      <w:r w:rsidRPr="0045349B">
        <w:t>. By 12/1/2027, LEO agencies must adopt a policy that is consistent with the AGO’s model policy and submit a copy of the LEO agency’s policy to the AGO. (Sec. 7(2)(a)).</w:t>
      </w:r>
    </w:p>
    <w:p w14:paraId="0782A478" w14:textId="77777777" w:rsidR="0042227D" w:rsidRDefault="0042227D" w:rsidP="0042227D">
      <w:pPr>
        <w:pStyle w:val="ListParagraph"/>
        <w:numPr>
          <w:ilvl w:val="1"/>
          <w:numId w:val="1"/>
        </w:numPr>
      </w:pPr>
      <w:r w:rsidRPr="0045349B">
        <w:t>If the LEO agency does not adopt a consistent policy, it must provide notice to the AGO stating the reasons for any departures and an explanation of how the LEO agency’s policy is consistent with the bill, and the LEO agency shall include a copy of its policy. (Sec. 7(2)(a)(</w:t>
      </w:r>
      <w:proofErr w:type="spellStart"/>
      <w:r w:rsidRPr="0045349B">
        <w:t>i</w:t>
      </w:r>
      <w:proofErr w:type="spellEnd"/>
      <w:r w:rsidRPr="0045349B">
        <w:t xml:space="preserve">)).  </w:t>
      </w:r>
    </w:p>
    <w:p w14:paraId="39EC4F95" w14:textId="77777777" w:rsidR="0042227D" w:rsidRDefault="0042227D" w:rsidP="0042227D">
      <w:pPr>
        <w:pStyle w:val="ListParagraph"/>
      </w:pPr>
    </w:p>
    <w:p w14:paraId="39B5E59D" w14:textId="77777777" w:rsidR="0042227D" w:rsidRDefault="0042227D" w:rsidP="0042227D">
      <w:pPr>
        <w:pStyle w:val="ListParagraph"/>
        <w:numPr>
          <w:ilvl w:val="0"/>
          <w:numId w:val="1"/>
        </w:numPr>
      </w:pPr>
      <w:r w:rsidRPr="005733EB">
        <w:rPr>
          <w:u w:val="single"/>
        </w:rPr>
        <w:t>Publish Agency Policies and Provide AGO Link</w:t>
      </w:r>
      <w:r w:rsidRPr="0045349B">
        <w:t>. Agencies that adopt policies required by Section 7 of the bill [i.e. any ALPR policy modified or repealed after 12/1/2026, and a policy consistent with the AGO model policy that is adopted by 12/1/2027] must publish the policies on the LEO agency’s website and submit a website link for those published policies with the AGO. (Sec. 7(5)).</w:t>
      </w:r>
    </w:p>
    <w:p w14:paraId="123693C0" w14:textId="77777777" w:rsidR="0042227D" w:rsidRPr="005733EB" w:rsidRDefault="0042227D" w:rsidP="0042227D">
      <w:pPr>
        <w:pStyle w:val="ListParagraph"/>
      </w:pPr>
    </w:p>
    <w:p w14:paraId="52CEECD0" w14:textId="77777777" w:rsidR="0042227D" w:rsidRDefault="0042227D" w:rsidP="0042227D">
      <w:pPr>
        <w:pStyle w:val="ListParagraph"/>
        <w:numPr>
          <w:ilvl w:val="0"/>
          <w:numId w:val="1"/>
        </w:numPr>
      </w:pPr>
      <w:r w:rsidRPr="005733EB">
        <w:rPr>
          <w:u w:val="single"/>
        </w:rPr>
        <w:lastRenderedPageBreak/>
        <w:t>Submit Annual Report by 12/1/2027.</w:t>
      </w:r>
      <w:r w:rsidRPr="0045349B">
        <w:t xml:space="preserve"> By 12/1/2027, LEO agencies MUST submit an annual report on its ALPR system practices and usage “to the appropriate committees of the legislature” and “conspicuously” post the same on the agency’s public website. (Sec. 7(2)(a)(ii)).</w:t>
      </w:r>
    </w:p>
    <w:p w14:paraId="675FCD03" w14:textId="77777777" w:rsidR="0042227D" w:rsidRDefault="0042227D" w:rsidP="0042227D">
      <w:pPr>
        <w:pStyle w:val="ListParagraph"/>
        <w:numPr>
          <w:ilvl w:val="1"/>
          <w:numId w:val="1"/>
        </w:numPr>
      </w:pPr>
      <w:r w:rsidRPr="0045349B">
        <w:t xml:space="preserve">The “appropriate committees of the legislature” is not identified in the bill. I assume this will be known and identified by the AGO when it establishes its model policy by 7/1/2027. (Sec. 7(2)(a)(ii)).  </w:t>
      </w:r>
    </w:p>
    <w:p w14:paraId="6148EA0B" w14:textId="77777777" w:rsidR="0042227D" w:rsidRDefault="0042227D" w:rsidP="0042227D">
      <w:pPr>
        <w:pStyle w:val="ListParagraph"/>
        <w:numPr>
          <w:ilvl w:val="1"/>
          <w:numId w:val="1"/>
        </w:numPr>
      </w:pPr>
      <w:r w:rsidRPr="0045349B">
        <w:t xml:space="preserve">The annual report </w:t>
      </w:r>
      <w:proofErr w:type="gramStart"/>
      <w:r w:rsidRPr="0045349B">
        <w:t>shall</w:t>
      </w:r>
      <w:proofErr w:type="gramEnd"/>
      <w:r w:rsidRPr="0045349B">
        <w:t xml:space="preserve"> include:</w:t>
      </w:r>
    </w:p>
    <w:p w14:paraId="45478ECC" w14:textId="77777777" w:rsidR="0042227D" w:rsidRDefault="0042227D" w:rsidP="0042227D">
      <w:pPr>
        <w:pStyle w:val="ListParagraph"/>
        <w:numPr>
          <w:ilvl w:val="2"/>
          <w:numId w:val="1"/>
        </w:numPr>
      </w:pPr>
      <w:r w:rsidRPr="0045349B">
        <w:t xml:space="preserve">The number of matches that resulted in traffic stops or arrests made w/assistance from ALPR systems and the number of subsequent </w:t>
      </w:r>
      <w:proofErr w:type="gramStart"/>
      <w:r w:rsidRPr="0045349B">
        <w:t>prosecutions;</w:t>
      </w:r>
      <w:proofErr w:type="gramEnd"/>
    </w:p>
    <w:p w14:paraId="653E0A0A" w14:textId="77777777" w:rsidR="0042227D" w:rsidRDefault="0042227D" w:rsidP="0042227D">
      <w:pPr>
        <w:pStyle w:val="ListParagraph"/>
        <w:numPr>
          <w:ilvl w:val="2"/>
          <w:numId w:val="1"/>
        </w:numPr>
      </w:pPr>
      <w:r w:rsidRPr="0045349B">
        <w:t xml:space="preserve">The number of stolen vehicles and stolen license plates recovered due to use of the </w:t>
      </w:r>
      <w:proofErr w:type="gramStart"/>
      <w:r w:rsidRPr="0045349B">
        <w:t>system;</w:t>
      </w:r>
      <w:proofErr w:type="gramEnd"/>
    </w:p>
    <w:p w14:paraId="18140AFC" w14:textId="77777777" w:rsidR="0042227D" w:rsidRDefault="0042227D" w:rsidP="0042227D">
      <w:pPr>
        <w:pStyle w:val="ListParagraph"/>
        <w:numPr>
          <w:ilvl w:val="2"/>
          <w:numId w:val="1"/>
        </w:numPr>
      </w:pPr>
      <w:r w:rsidRPr="0045349B">
        <w:t xml:space="preserve">The number of preservation requests and disclosure orders </w:t>
      </w:r>
      <w:proofErr w:type="gramStart"/>
      <w:r w:rsidRPr="0045349B">
        <w:t>received;</w:t>
      </w:r>
      <w:proofErr w:type="gramEnd"/>
    </w:p>
    <w:p w14:paraId="53F627DC" w14:textId="77777777" w:rsidR="0042227D" w:rsidRDefault="0042227D" w:rsidP="0042227D">
      <w:pPr>
        <w:pStyle w:val="ListParagraph"/>
        <w:numPr>
          <w:ilvl w:val="2"/>
          <w:numId w:val="1"/>
        </w:numPr>
      </w:pPr>
      <w:r w:rsidRPr="0045349B">
        <w:t xml:space="preserve">The number </w:t>
      </w:r>
      <w:proofErr w:type="gramStart"/>
      <w:r w:rsidRPr="0045349B">
        <w:t>of times</w:t>
      </w:r>
      <w:proofErr w:type="gramEnd"/>
      <w:r w:rsidRPr="0045349B">
        <w:t xml:space="preserve"> ALPR data or audit trail data was shared with or accessed by another governmental entity and the identity of each of those governmental </w:t>
      </w:r>
      <w:proofErr w:type="gramStart"/>
      <w:r w:rsidRPr="0045349B">
        <w:t>entities;</w:t>
      </w:r>
      <w:proofErr w:type="gramEnd"/>
    </w:p>
    <w:p w14:paraId="2563F33F" w14:textId="77777777" w:rsidR="0042227D" w:rsidRDefault="0042227D" w:rsidP="0042227D">
      <w:pPr>
        <w:pStyle w:val="ListParagraph"/>
        <w:numPr>
          <w:ilvl w:val="2"/>
          <w:numId w:val="1"/>
        </w:numPr>
      </w:pPr>
      <w:r w:rsidRPr="0045349B">
        <w:t xml:space="preserve">The number of times ALPR data was shared or accessed pursuant to a judicial </w:t>
      </w:r>
      <w:proofErr w:type="gramStart"/>
      <w:r w:rsidRPr="0045349B">
        <w:t>warrant;</w:t>
      </w:r>
      <w:proofErr w:type="gramEnd"/>
    </w:p>
    <w:p w14:paraId="067786F1" w14:textId="77777777" w:rsidR="0042227D" w:rsidRDefault="0042227D" w:rsidP="0042227D">
      <w:pPr>
        <w:pStyle w:val="ListParagraph"/>
        <w:numPr>
          <w:ilvl w:val="2"/>
          <w:numId w:val="1"/>
        </w:numPr>
      </w:pPr>
      <w:r w:rsidRPr="0045349B">
        <w:t xml:space="preserve">Any changes in policy that affect data collection, retention period, access or </w:t>
      </w:r>
      <w:proofErr w:type="gramStart"/>
      <w:r w:rsidRPr="0045349B">
        <w:t>sharing;</w:t>
      </w:r>
      <w:proofErr w:type="gramEnd"/>
    </w:p>
    <w:p w14:paraId="328070DE" w14:textId="77777777" w:rsidR="0042227D" w:rsidRDefault="0042227D" w:rsidP="0042227D">
      <w:pPr>
        <w:pStyle w:val="ListParagraph"/>
        <w:numPr>
          <w:ilvl w:val="2"/>
          <w:numId w:val="1"/>
        </w:numPr>
      </w:pPr>
      <w:r w:rsidRPr="0045349B">
        <w:t xml:space="preserve">Results from the agency’s internal audit of its ALPR </w:t>
      </w:r>
      <w:proofErr w:type="gramStart"/>
      <w:r w:rsidRPr="0045349B">
        <w:t>system</w:t>
      </w:r>
      <w:r>
        <w:t>;</w:t>
      </w:r>
      <w:proofErr w:type="gramEnd"/>
    </w:p>
    <w:p w14:paraId="0476B9A9" w14:textId="77777777" w:rsidR="0042227D" w:rsidRDefault="0042227D" w:rsidP="0042227D">
      <w:pPr>
        <w:pStyle w:val="ListParagraph"/>
        <w:numPr>
          <w:ilvl w:val="2"/>
          <w:numId w:val="1"/>
        </w:numPr>
      </w:pPr>
      <w:r w:rsidRPr="0045349B">
        <w:t>The total annual number of ALPR system reads, searches that yielded results, and alerts; and</w:t>
      </w:r>
    </w:p>
    <w:p w14:paraId="59BD4709" w14:textId="77777777" w:rsidR="0042227D" w:rsidRDefault="0042227D" w:rsidP="0042227D">
      <w:pPr>
        <w:pStyle w:val="ListParagraph"/>
        <w:numPr>
          <w:ilvl w:val="2"/>
          <w:numId w:val="1"/>
        </w:numPr>
      </w:pPr>
      <w:r w:rsidRPr="0045349B">
        <w:t xml:space="preserve">The locations of cameras </w:t>
      </w:r>
      <w:proofErr w:type="gramStart"/>
      <w:r w:rsidRPr="0045349B">
        <w:t>used</w:t>
      </w:r>
      <w:proofErr w:type="gramEnd"/>
      <w:r w:rsidRPr="0045349B">
        <w:t xml:space="preserve"> as part of ALPR systems.</w:t>
      </w:r>
    </w:p>
    <w:p w14:paraId="4D5AF86A" w14:textId="77777777" w:rsidR="0042227D" w:rsidRDefault="0042227D" w:rsidP="0042227D">
      <w:pPr>
        <w:pStyle w:val="ListParagraph"/>
        <w:numPr>
          <w:ilvl w:val="1"/>
          <w:numId w:val="1"/>
        </w:numPr>
      </w:pPr>
      <w:r w:rsidRPr="0045349B">
        <w:t>Because this section refers to an “annual” report, this annual report obligation is first due on or before 12/1/2027 and likely every year thereafter on or before December 1 of that year, but I would expect this obligation to be clarified in the AGO’s model policy.</w:t>
      </w:r>
    </w:p>
    <w:p w14:paraId="35F8D3AC" w14:textId="77777777" w:rsidR="0042227D" w:rsidRDefault="0042227D" w:rsidP="0042227D">
      <w:pPr>
        <w:pStyle w:val="ListParagraph"/>
        <w:numPr>
          <w:ilvl w:val="1"/>
          <w:numId w:val="1"/>
        </w:numPr>
      </w:pPr>
      <w:r>
        <w:t>The police department</w:t>
      </w:r>
      <w:r w:rsidRPr="0045349B">
        <w:t xml:space="preserve"> will likely want to discuss this annual reporting requirement in detail with Flock to determine what data can be tracked and collected through the Flock system, and what information </w:t>
      </w:r>
      <w:r>
        <w:t>the department</w:t>
      </w:r>
      <w:r w:rsidRPr="0045349B">
        <w:t xml:space="preserve"> will need to separately track once the bill takes effect</w:t>
      </w:r>
    </w:p>
    <w:p w14:paraId="25DD4D2B" w14:textId="77777777" w:rsidR="0042227D" w:rsidRDefault="0042227D" w:rsidP="0042227D">
      <w:pPr>
        <w:pStyle w:val="ListParagraph"/>
      </w:pPr>
    </w:p>
    <w:p w14:paraId="35E642BD" w14:textId="77777777" w:rsidR="0042227D" w:rsidRDefault="0042227D" w:rsidP="0042227D">
      <w:pPr>
        <w:pStyle w:val="ListParagraph"/>
        <w:numPr>
          <w:ilvl w:val="0"/>
          <w:numId w:val="1"/>
        </w:numPr>
      </w:pPr>
      <w:r w:rsidRPr="000B7EB8">
        <w:rPr>
          <w:u w:val="single"/>
        </w:rPr>
        <w:t>Additional Annual Audit by LEO Agency</w:t>
      </w:r>
      <w:r w:rsidRPr="0045349B">
        <w:t>. LEO Agency shall conduct an internal audit at least 1 time each year to review: (Sec. 8(3)):</w:t>
      </w:r>
    </w:p>
    <w:p w14:paraId="5D9B1783" w14:textId="77777777" w:rsidR="0042227D" w:rsidRDefault="0042227D" w:rsidP="0042227D">
      <w:pPr>
        <w:pStyle w:val="ListParagraph"/>
        <w:numPr>
          <w:ilvl w:val="1"/>
          <w:numId w:val="1"/>
        </w:numPr>
      </w:pPr>
      <w:r w:rsidRPr="0045349B">
        <w:t>All access to and use of ALPR system as reflected in the audit trail data; and</w:t>
      </w:r>
    </w:p>
    <w:p w14:paraId="21E1E80A" w14:textId="77777777" w:rsidR="0042227D" w:rsidRDefault="0042227D" w:rsidP="0042227D">
      <w:pPr>
        <w:pStyle w:val="ListParagraph"/>
        <w:numPr>
          <w:ilvl w:val="1"/>
          <w:numId w:val="1"/>
        </w:numPr>
      </w:pPr>
      <w:r w:rsidRPr="0045349B">
        <w:lastRenderedPageBreak/>
        <w:t>The LEO agency’s compliance with the data retention, purging, and sharing requirements established under bill and agency policy</w:t>
      </w:r>
    </w:p>
    <w:p w14:paraId="728F8D3D" w14:textId="77777777" w:rsidR="0042227D" w:rsidRDefault="0042227D" w:rsidP="0042227D">
      <w:pPr>
        <w:pStyle w:val="ListParagraph"/>
      </w:pPr>
    </w:p>
    <w:p w14:paraId="082A538D" w14:textId="77777777" w:rsidR="0042227D" w:rsidRDefault="0042227D" w:rsidP="0042227D">
      <w:pPr>
        <w:pStyle w:val="ListParagraph"/>
        <w:numPr>
          <w:ilvl w:val="0"/>
          <w:numId w:val="1"/>
        </w:numPr>
      </w:pPr>
      <w:r w:rsidRPr="000B7EB8">
        <w:rPr>
          <w:u w:val="single"/>
        </w:rPr>
        <w:t>ALPR System Requirements</w:t>
      </w:r>
      <w:r w:rsidRPr="0045349B">
        <w:t xml:space="preserve">. The following requirements apply to ALPR systems used by LEO agencies, and </w:t>
      </w:r>
      <w:r>
        <w:t>the police department</w:t>
      </w:r>
      <w:r w:rsidRPr="0045349B">
        <w:t xml:space="preserve"> will likely want to include these obligations and limitations in its contract with Flock:</w:t>
      </w:r>
    </w:p>
    <w:p w14:paraId="5AD3FB66" w14:textId="77777777" w:rsidR="0042227D" w:rsidRDefault="0042227D" w:rsidP="0042227D">
      <w:pPr>
        <w:pStyle w:val="ListParagraph"/>
        <w:numPr>
          <w:ilvl w:val="1"/>
          <w:numId w:val="1"/>
        </w:numPr>
      </w:pPr>
      <w:r w:rsidRPr="0045349B">
        <w:t xml:space="preserve">ALPR system </w:t>
      </w:r>
      <w:proofErr w:type="gramStart"/>
      <w:r w:rsidRPr="0045349B">
        <w:t>vendor</w:t>
      </w:r>
      <w:proofErr w:type="gramEnd"/>
      <w:r w:rsidRPr="0045349B">
        <w:t xml:space="preserve"> must provide technical controls that prevent unauthorized data sharing, secondary transfer, or access by nonauthorized agencies, including federal civil immigration enforcement in compliance with bill. (Sec. 5(6))</w:t>
      </w:r>
    </w:p>
    <w:p w14:paraId="11605438" w14:textId="77777777" w:rsidR="0042227D" w:rsidRDefault="0042227D" w:rsidP="0042227D">
      <w:pPr>
        <w:pStyle w:val="ListParagraph"/>
        <w:numPr>
          <w:ilvl w:val="1"/>
          <w:numId w:val="1"/>
        </w:numPr>
      </w:pPr>
      <w:r w:rsidRPr="0045349B">
        <w:t>ALPR system vendors are prohibited from selling, leasing, renting, or otherwise allowing access to ALPR data to any nonauthorized agency, person, or entity. (Sec. 5(7)).</w:t>
      </w:r>
    </w:p>
    <w:p w14:paraId="378BABDB" w14:textId="77777777" w:rsidR="0042227D" w:rsidRDefault="0042227D" w:rsidP="0042227D">
      <w:pPr>
        <w:pStyle w:val="ListParagraph"/>
        <w:numPr>
          <w:ilvl w:val="1"/>
          <w:numId w:val="1"/>
        </w:numPr>
      </w:pPr>
      <w:r w:rsidRPr="0045349B">
        <w:t xml:space="preserve">ALPR system vendors are prohibited from making any changes to the ALPR system, including software updates, that may change sharing permissions, without the knowledge or explicit consent of the authorized Washington agency. Sec. </w:t>
      </w:r>
      <w:proofErr w:type="gramStart"/>
      <w:r w:rsidRPr="0045349B">
        <w:t>5((</w:t>
      </w:r>
      <w:proofErr w:type="gramEnd"/>
      <w:r w:rsidRPr="0045349B">
        <w:t>8))</w:t>
      </w:r>
    </w:p>
    <w:p w14:paraId="044CBD4A" w14:textId="77777777" w:rsidR="0042227D" w:rsidRDefault="0042227D" w:rsidP="0042227D">
      <w:pPr>
        <w:pStyle w:val="ListParagraph"/>
        <w:numPr>
          <w:ilvl w:val="1"/>
          <w:numId w:val="1"/>
        </w:numPr>
      </w:pPr>
      <w:proofErr w:type="gramStart"/>
      <w:r w:rsidRPr="0045349B">
        <w:t>ALPR system vendors</w:t>
      </w:r>
      <w:proofErr w:type="gramEnd"/>
      <w:r w:rsidRPr="0045349B">
        <w:t xml:space="preserve"> must default any settings related to sharing to prevent any sharing of an agency’s data with any nonauthorized agency, person, or entity. Sec. 5(8)).</w:t>
      </w:r>
    </w:p>
    <w:p w14:paraId="0F06735D" w14:textId="77777777" w:rsidR="0042227D" w:rsidRPr="00C63B05" w:rsidRDefault="0042227D" w:rsidP="0042227D">
      <w:pPr>
        <w:pStyle w:val="ListParagraph"/>
      </w:pPr>
    </w:p>
    <w:p w14:paraId="05846219" w14:textId="77777777" w:rsidR="0042227D" w:rsidRDefault="0042227D" w:rsidP="0042227D">
      <w:pPr>
        <w:pStyle w:val="ListParagraph"/>
        <w:numPr>
          <w:ilvl w:val="0"/>
          <w:numId w:val="1"/>
        </w:numPr>
      </w:pPr>
      <w:r w:rsidRPr="00C63B05">
        <w:rPr>
          <w:u w:val="single"/>
        </w:rPr>
        <w:t>Reasonable Suspicion</w:t>
      </w:r>
      <w:r w:rsidRPr="0045349B">
        <w:t xml:space="preserve">. The bill provides that a positive match through an ALPR system does not provide reasonable suspicion on its </w:t>
      </w:r>
      <w:proofErr w:type="gramStart"/>
      <w:r w:rsidRPr="0045349B">
        <w:t>own—</w:t>
      </w:r>
      <w:proofErr w:type="gramEnd"/>
      <w:r w:rsidRPr="0045349B">
        <w:t>something more is needed. LEOs must develop independent reasonable suspicion for the stop or immediately confirm visually that the license plate on the vehicle matches the image of the plate displayed in the ALPR system and confirm by other means that the plate is in one of the databases specified in Sec. 3(2)(a) of the bill. (Sec. 3(6)).</w:t>
      </w:r>
    </w:p>
    <w:p w14:paraId="42B40C1C" w14:textId="77777777" w:rsidR="0042227D" w:rsidRDefault="0042227D" w:rsidP="0042227D">
      <w:pPr>
        <w:pStyle w:val="ListParagraph"/>
      </w:pPr>
    </w:p>
    <w:p w14:paraId="10415C66" w14:textId="77777777" w:rsidR="0042227D" w:rsidRDefault="0042227D" w:rsidP="0042227D">
      <w:pPr>
        <w:pStyle w:val="ListParagraph"/>
        <w:numPr>
          <w:ilvl w:val="0"/>
          <w:numId w:val="1"/>
        </w:numPr>
      </w:pPr>
      <w:r w:rsidRPr="00766006">
        <w:rPr>
          <w:u w:val="single"/>
        </w:rPr>
        <w:t>Public Records Act and ALPR Data and Audit Trail Data Reports</w:t>
      </w:r>
      <w:r>
        <w:t>.</w:t>
      </w:r>
    </w:p>
    <w:p w14:paraId="368280CF" w14:textId="77777777" w:rsidR="0042227D" w:rsidRDefault="0042227D" w:rsidP="0042227D">
      <w:pPr>
        <w:pStyle w:val="ListParagraph"/>
        <w:numPr>
          <w:ilvl w:val="1"/>
          <w:numId w:val="1"/>
        </w:numPr>
      </w:pPr>
      <w:r w:rsidRPr="0045349B">
        <w:t>ALPR Data is Exempt from Disclosure. ALPR data itself is exempt from disclosure in response to Public Records Requests under Ch. 42.56 RCW. (Sec. 5(5)).</w:t>
      </w:r>
    </w:p>
    <w:p w14:paraId="4794512D" w14:textId="77777777" w:rsidR="0042227D" w:rsidRDefault="0042227D" w:rsidP="0042227D">
      <w:pPr>
        <w:pStyle w:val="ListParagraph"/>
        <w:numPr>
          <w:ilvl w:val="2"/>
          <w:numId w:val="1"/>
        </w:numPr>
      </w:pPr>
      <w:r w:rsidRPr="0045349B">
        <w:t>We’re still evaluating whether we can categorically withhold these records or if we must identify them on an exemption log.</w:t>
      </w:r>
    </w:p>
    <w:p w14:paraId="1FFB0C3B" w14:textId="77777777" w:rsidR="0042227D" w:rsidRDefault="0042227D" w:rsidP="0042227D">
      <w:pPr>
        <w:pStyle w:val="ListParagraph"/>
        <w:numPr>
          <w:ilvl w:val="1"/>
          <w:numId w:val="1"/>
        </w:numPr>
      </w:pPr>
      <w:r w:rsidRPr="0045349B">
        <w:t>ALPR Audit Trail Data Reports. ALPR Audit Trail Data Reports are subject to disclosure as they are not considered ALPR data themselves. (Sec. 2(2)).</w:t>
      </w:r>
    </w:p>
    <w:p w14:paraId="7D1107F3" w14:textId="77777777" w:rsidR="0042227D" w:rsidRDefault="0042227D" w:rsidP="0042227D">
      <w:pPr>
        <w:pStyle w:val="ListParagraph"/>
        <w:numPr>
          <w:ilvl w:val="2"/>
          <w:numId w:val="1"/>
        </w:numPr>
      </w:pPr>
      <w:r w:rsidRPr="0045349B">
        <w:t xml:space="preserve">Queries Retained Only for Audits. Data elements used to query the ALPR system and retained as “audit trail data” may be used solely for </w:t>
      </w:r>
      <w:r w:rsidRPr="0045349B">
        <w:lastRenderedPageBreak/>
        <w:t>auditing and may not be searched, analyzed, compiled, or indexed for investigative purposes. Data elements that contain unique identifiers must be partially redacted in any public disclosure. (Sec. 8(2))</w:t>
      </w:r>
    </w:p>
    <w:p w14:paraId="116AF149" w14:textId="77777777" w:rsidR="0042227D" w:rsidRDefault="0042227D" w:rsidP="0042227D">
      <w:pPr>
        <w:pStyle w:val="ListParagraph"/>
      </w:pPr>
    </w:p>
    <w:p w14:paraId="4EB748AC" w14:textId="77777777" w:rsidR="0042227D" w:rsidRDefault="0042227D" w:rsidP="0042227D">
      <w:pPr>
        <w:pStyle w:val="ListParagraph"/>
        <w:numPr>
          <w:ilvl w:val="0"/>
          <w:numId w:val="1"/>
        </w:numPr>
      </w:pPr>
      <w:r w:rsidRPr="00DD504E">
        <w:rPr>
          <w:u w:val="single"/>
        </w:rPr>
        <w:t>Court Order, Warrants, or Subpoenas</w:t>
      </w:r>
      <w:r w:rsidRPr="0045349B">
        <w:t>. ALPR data is still subject to disclosure in accordance with a court order, warrant, or subpoena, so Flock must continue to preserve data when</w:t>
      </w:r>
      <w:r>
        <w:t xml:space="preserve"> the</w:t>
      </w:r>
      <w:r w:rsidRPr="0045349B">
        <w:t xml:space="preserve"> </w:t>
      </w:r>
      <w:r>
        <w:t>p</w:t>
      </w:r>
      <w:r w:rsidRPr="0045349B">
        <w:t>olice inform Flock of its receipt of a court order, warrant, or subpoena. That data must be preserved by Flock until the City complies with the terms of the court order, warrant, or subpoena.</w:t>
      </w:r>
    </w:p>
    <w:p w14:paraId="686BCF70" w14:textId="77777777" w:rsidR="0042227D" w:rsidRPr="00DD504E" w:rsidRDefault="0042227D" w:rsidP="0042227D">
      <w:pPr>
        <w:pStyle w:val="ListParagraph"/>
      </w:pPr>
    </w:p>
    <w:p w14:paraId="0B01FD8B" w14:textId="77777777" w:rsidR="0042227D" w:rsidRDefault="0042227D" w:rsidP="0042227D">
      <w:pPr>
        <w:pStyle w:val="ListParagraph"/>
        <w:numPr>
          <w:ilvl w:val="0"/>
          <w:numId w:val="1"/>
        </w:numPr>
      </w:pPr>
      <w:r w:rsidRPr="00DD504E">
        <w:rPr>
          <w:u w:val="single"/>
        </w:rPr>
        <w:t>Private ALPR Data only w/Warrant.</w:t>
      </w:r>
      <w:r w:rsidRPr="0045349B">
        <w:t xml:space="preserve"> Law enforcement may obtain privately held ALPR data only pursuant to a valid, court-issued, probable cause warrant. (Sec. 5(4)).</w:t>
      </w:r>
    </w:p>
    <w:p w14:paraId="666868A7" w14:textId="77777777" w:rsidR="0042227D" w:rsidRDefault="0042227D" w:rsidP="0042227D">
      <w:pPr>
        <w:pStyle w:val="ListParagraph"/>
      </w:pPr>
    </w:p>
    <w:p w14:paraId="4E83C07C" w14:textId="77777777" w:rsidR="0042227D" w:rsidRDefault="0042227D" w:rsidP="0042227D">
      <w:pPr>
        <w:pStyle w:val="ListParagraph"/>
        <w:numPr>
          <w:ilvl w:val="0"/>
          <w:numId w:val="1"/>
        </w:numPr>
      </w:pPr>
      <w:r w:rsidRPr="00FC5EFE">
        <w:rPr>
          <w:u w:val="single"/>
        </w:rPr>
        <w:t>Retain for only 21 Days</w:t>
      </w:r>
      <w:r w:rsidRPr="0045349B">
        <w:t>. ALPR data cannot be retained longer than 21 days, except for one of the stated exceptions noted below: (Sec. 4(1) – (5)).</w:t>
      </w:r>
    </w:p>
    <w:p w14:paraId="2F7C2B84" w14:textId="77777777" w:rsidR="0042227D" w:rsidRDefault="0042227D" w:rsidP="0042227D">
      <w:pPr>
        <w:pStyle w:val="ListParagraph"/>
        <w:numPr>
          <w:ilvl w:val="1"/>
          <w:numId w:val="1"/>
        </w:numPr>
      </w:pPr>
      <w:r w:rsidRPr="0045349B">
        <w:t>When retained pursuant to a valid, court-issued, probable cause felony or gross misdemeanor warrant or subpoena, or court order; provided the data is deleted at the conclusion of the criminal or civil case, pursuant to applicable records retention schedules. Further, ALPR data may be shared in discovery under court rules.</w:t>
      </w:r>
    </w:p>
    <w:p w14:paraId="499E31F5" w14:textId="77777777" w:rsidR="0042227D" w:rsidRDefault="0042227D" w:rsidP="0042227D">
      <w:pPr>
        <w:pStyle w:val="ListParagraph"/>
        <w:numPr>
          <w:ilvl w:val="1"/>
          <w:numId w:val="1"/>
        </w:numPr>
      </w:pPr>
      <w:r w:rsidRPr="0045349B">
        <w:t xml:space="preserve">When retained for purposes of parking </w:t>
      </w:r>
      <w:proofErr w:type="gramStart"/>
      <w:r w:rsidRPr="0045349B">
        <w:t>enforcement;</w:t>
      </w:r>
      <w:proofErr w:type="gramEnd"/>
      <w:r w:rsidRPr="0045349B">
        <w:t xml:space="preserve"> provided, data is deleted no later than 12 hours after final disposition of parking enforcement case, including applicable appeals process.</w:t>
      </w:r>
    </w:p>
    <w:p w14:paraId="54EF5706" w14:textId="77777777" w:rsidR="0042227D" w:rsidRDefault="0042227D" w:rsidP="0042227D">
      <w:pPr>
        <w:pStyle w:val="ListParagraph"/>
        <w:numPr>
          <w:ilvl w:val="1"/>
          <w:numId w:val="1"/>
        </w:numPr>
      </w:pPr>
      <w:r w:rsidRPr="0045349B">
        <w:t xml:space="preserve">When retained for </w:t>
      </w:r>
      <w:proofErr w:type="gramStart"/>
      <w:r w:rsidRPr="0045349B">
        <w:t>purposes of traffic</w:t>
      </w:r>
      <w:proofErr w:type="gramEnd"/>
      <w:r w:rsidRPr="0045349B">
        <w:t xml:space="preserve"> studies, </w:t>
      </w:r>
      <w:proofErr w:type="gramStart"/>
      <w:r w:rsidRPr="0045349B">
        <w:t>provided data</w:t>
      </w:r>
      <w:proofErr w:type="gramEnd"/>
      <w:r w:rsidRPr="0045349B">
        <w:t xml:space="preserve"> is deleted no later than 30 days after </w:t>
      </w:r>
      <w:proofErr w:type="gramStart"/>
      <w:r w:rsidRPr="0045349B">
        <w:t>collection;</w:t>
      </w:r>
      <w:proofErr w:type="gramEnd"/>
    </w:p>
    <w:p w14:paraId="7CEA64E8" w14:textId="77777777" w:rsidR="0042227D" w:rsidRDefault="0042227D" w:rsidP="0042227D">
      <w:pPr>
        <w:pStyle w:val="ListParagraph"/>
        <w:numPr>
          <w:ilvl w:val="1"/>
          <w:numId w:val="1"/>
        </w:numPr>
      </w:pPr>
      <w:r w:rsidRPr="0045349B">
        <w:t>When retained for purposes of enforcing commercial vehicle systems, provided data is deleted no later than 6 months after collection; and</w:t>
      </w:r>
    </w:p>
    <w:p w14:paraId="472E0F6B" w14:textId="77777777" w:rsidR="0042227D" w:rsidRDefault="0042227D" w:rsidP="0042227D">
      <w:pPr>
        <w:pStyle w:val="ListParagraph"/>
        <w:numPr>
          <w:ilvl w:val="1"/>
          <w:numId w:val="1"/>
        </w:numPr>
      </w:pPr>
      <w:r w:rsidRPr="0045349B">
        <w:t xml:space="preserve">When retained for one of the purposes identified in the paragraph above under “Authorized Uses Limited” for as long as such data is needed as evidence of specific unlawful conduct enumerated in that section.  </w:t>
      </w:r>
    </w:p>
    <w:p w14:paraId="4D124E84" w14:textId="77777777" w:rsidR="0042227D" w:rsidRDefault="0042227D" w:rsidP="0042227D">
      <w:pPr>
        <w:pStyle w:val="ListParagraph"/>
      </w:pPr>
    </w:p>
    <w:p w14:paraId="525B0534" w14:textId="77777777" w:rsidR="0042227D" w:rsidRDefault="0042227D" w:rsidP="0042227D">
      <w:pPr>
        <w:pStyle w:val="ListParagraph"/>
        <w:numPr>
          <w:ilvl w:val="0"/>
          <w:numId w:val="1"/>
        </w:numPr>
      </w:pPr>
      <w:r w:rsidRPr="00E230AF">
        <w:rPr>
          <w:u w:val="single"/>
        </w:rPr>
        <w:t>LEO Agency Must Maintain Audit Trail Data Documenting Access to ALPR System</w:t>
      </w:r>
      <w:r w:rsidRPr="0045349B">
        <w:t xml:space="preserve">. Each agency operating an ALPR system MUST maintain audit trail data documenting all access to the system. The audit </w:t>
      </w:r>
      <w:proofErr w:type="gramStart"/>
      <w:r w:rsidRPr="0045349B">
        <w:t>trail</w:t>
      </w:r>
      <w:proofErr w:type="gramEnd"/>
      <w:r w:rsidRPr="0045349B">
        <w:t xml:space="preserve"> MUST be retained for 2 years and MUST include the following minimum information. </w:t>
      </w:r>
      <w:r>
        <w:t xml:space="preserve">The police department </w:t>
      </w:r>
      <w:r w:rsidRPr="0045349B">
        <w:t>will want to amend the contract with Flock to add these requirements and obligations: (Sec. 8(1))</w:t>
      </w:r>
    </w:p>
    <w:p w14:paraId="08E38146" w14:textId="77777777" w:rsidR="0042227D" w:rsidRDefault="0042227D" w:rsidP="0042227D">
      <w:pPr>
        <w:pStyle w:val="ListParagraph"/>
        <w:numPr>
          <w:ilvl w:val="1"/>
          <w:numId w:val="1"/>
        </w:numPr>
      </w:pPr>
      <w:r w:rsidRPr="0045349B">
        <w:lastRenderedPageBreak/>
        <w:t>A record of each action in which ALPR data is accessed or searched that includes: (Sec. 8(1)(a))</w:t>
      </w:r>
    </w:p>
    <w:p w14:paraId="1AE304B1" w14:textId="77777777" w:rsidR="0042227D" w:rsidRDefault="0042227D" w:rsidP="0042227D">
      <w:pPr>
        <w:pStyle w:val="ListParagraph"/>
        <w:numPr>
          <w:ilvl w:val="2"/>
          <w:numId w:val="1"/>
        </w:numPr>
      </w:pPr>
      <w:r w:rsidRPr="0045349B">
        <w:t xml:space="preserve">Identity or username of the person who accessed or queried the system and the organization or entity with whom the person is </w:t>
      </w:r>
      <w:proofErr w:type="gramStart"/>
      <w:r w:rsidRPr="0045349B">
        <w:t>affiliated;</w:t>
      </w:r>
      <w:proofErr w:type="gramEnd"/>
    </w:p>
    <w:p w14:paraId="1237BEDD" w14:textId="77777777" w:rsidR="0042227D" w:rsidRDefault="0042227D" w:rsidP="0042227D">
      <w:pPr>
        <w:pStyle w:val="ListParagraph"/>
        <w:numPr>
          <w:ilvl w:val="2"/>
          <w:numId w:val="1"/>
        </w:numPr>
      </w:pPr>
      <w:r w:rsidRPr="0045349B">
        <w:t xml:space="preserve">The date and time the ALPR data or ALPR system was accessed or </w:t>
      </w:r>
      <w:proofErr w:type="gramStart"/>
      <w:r w:rsidRPr="0045349B">
        <w:t>searched;</w:t>
      </w:r>
      <w:proofErr w:type="gramEnd"/>
    </w:p>
    <w:p w14:paraId="7FA1DF7A" w14:textId="77777777" w:rsidR="0042227D" w:rsidRDefault="0042227D" w:rsidP="0042227D">
      <w:pPr>
        <w:pStyle w:val="ListParagraph"/>
        <w:numPr>
          <w:ilvl w:val="2"/>
          <w:numId w:val="1"/>
        </w:numPr>
      </w:pPr>
      <w:r w:rsidRPr="0045349B">
        <w:t xml:space="preserve">The data elements used to query the ALPR </w:t>
      </w:r>
      <w:proofErr w:type="gramStart"/>
      <w:r w:rsidRPr="0045349B">
        <w:t>system;</w:t>
      </w:r>
      <w:proofErr w:type="gramEnd"/>
    </w:p>
    <w:p w14:paraId="00073832" w14:textId="77777777" w:rsidR="0042227D" w:rsidRDefault="0042227D" w:rsidP="0042227D">
      <w:pPr>
        <w:pStyle w:val="ListParagraph"/>
        <w:numPr>
          <w:ilvl w:val="2"/>
          <w:numId w:val="1"/>
        </w:numPr>
      </w:pPr>
      <w:r w:rsidRPr="0045349B">
        <w:t xml:space="preserve">The specific purpose for accessing or querying the ALPR system, including the offense type for any criminal </w:t>
      </w:r>
      <w:proofErr w:type="gramStart"/>
      <w:r w:rsidRPr="0045349B">
        <w:t>investigation;</w:t>
      </w:r>
      <w:proofErr w:type="gramEnd"/>
    </w:p>
    <w:p w14:paraId="300386CB" w14:textId="77777777" w:rsidR="0042227D" w:rsidRDefault="0042227D" w:rsidP="0042227D">
      <w:pPr>
        <w:pStyle w:val="ListParagraph"/>
        <w:numPr>
          <w:ilvl w:val="2"/>
          <w:numId w:val="1"/>
        </w:numPr>
      </w:pPr>
      <w:r w:rsidRPr="0045349B">
        <w:t>The associated call for service or case number; and</w:t>
      </w:r>
    </w:p>
    <w:p w14:paraId="1256EF2B" w14:textId="77777777" w:rsidR="0042227D" w:rsidRDefault="0042227D" w:rsidP="0042227D">
      <w:pPr>
        <w:pStyle w:val="ListParagraph"/>
        <w:numPr>
          <w:ilvl w:val="2"/>
          <w:numId w:val="1"/>
        </w:numPr>
      </w:pPr>
      <w:r w:rsidRPr="0045349B">
        <w:t>The location of the cameras that are part of the ALPR system accessed.</w:t>
      </w:r>
    </w:p>
    <w:p w14:paraId="2C22086F" w14:textId="77777777" w:rsidR="0042227D" w:rsidRDefault="0042227D" w:rsidP="0042227D">
      <w:pPr>
        <w:pStyle w:val="ListParagraph"/>
        <w:numPr>
          <w:ilvl w:val="1"/>
          <w:numId w:val="1"/>
        </w:numPr>
      </w:pPr>
      <w:r w:rsidRPr="0045349B">
        <w:t>All records of actions in which ALPR data is exported, downloaded, or shared. (Sec. 8(1)(b))</w:t>
      </w:r>
    </w:p>
    <w:p w14:paraId="30AA4C90" w14:textId="77777777" w:rsidR="0042227D" w:rsidRDefault="0042227D" w:rsidP="0042227D">
      <w:pPr>
        <w:pStyle w:val="ListParagraph"/>
        <w:numPr>
          <w:ilvl w:val="1"/>
          <w:numId w:val="1"/>
        </w:numPr>
      </w:pPr>
      <w:r w:rsidRPr="0045349B">
        <w:t>Any audit trail data generated by or made available through a third-party vendor providing ALPR system services. (Sec. 8(1)(c))</w:t>
      </w:r>
    </w:p>
    <w:p w14:paraId="1047F9AC" w14:textId="77777777" w:rsidR="0042227D" w:rsidRDefault="0042227D" w:rsidP="0042227D">
      <w:pPr>
        <w:pStyle w:val="ListParagraph"/>
        <w:numPr>
          <w:ilvl w:val="1"/>
          <w:numId w:val="1"/>
        </w:numPr>
      </w:pPr>
      <w:r w:rsidRPr="0045349B">
        <w:t>LEO agencies MUST ensure that all such vendor audit trail data is downloaded or otherwise obtained and retained by the agency</w:t>
      </w:r>
    </w:p>
    <w:p w14:paraId="3441E84B" w14:textId="77777777" w:rsidR="0042227D" w:rsidRDefault="0042227D" w:rsidP="0042227D">
      <w:pPr>
        <w:pStyle w:val="ListParagraph"/>
      </w:pPr>
    </w:p>
    <w:p w14:paraId="5F79508C" w14:textId="77777777" w:rsidR="0042227D" w:rsidRDefault="0042227D" w:rsidP="0042227D">
      <w:pPr>
        <w:pStyle w:val="ListParagraph"/>
        <w:numPr>
          <w:ilvl w:val="0"/>
          <w:numId w:val="1"/>
        </w:numPr>
      </w:pPr>
      <w:r w:rsidRPr="005C57A5">
        <w:rPr>
          <w:u w:val="single"/>
        </w:rPr>
        <w:t>Unlawful Purposes</w:t>
      </w:r>
      <w:r w:rsidRPr="0045349B">
        <w:t xml:space="preserve">. The bill provides that the following actions are unlawful, which could give rise to civil liability and </w:t>
      </w:r>
      <w:proofErr w:type="gramStart"/>
      <w:r w:rsidRPr="0045349B">
        <w:t>attorney’s</w:t>
      </w:r>
      <w:proofErr w:type="gramEnd"/>
      <w:r w:rsidRPr="0045349B">
        <w:t xml:space="preserve"> fees as explained later.</w:t>
      </w:r>
    </w:p>
    <w:p w14:paraId="4C13F9C1" w14:textId="77777777" w:rsidR="0042227D" w:rsidRDefault="0042227D" w:rsidP="0042227D">
      <w:pPr>
        <w:pStyle w:val="ListParagraph"/>
        <w:numPr>
          <w:ilvl w:val="1"/>
          <w:numId w:val="1"/>
        </w:numPr>
      </w:pPr>
      <w:r w:rsidRPr="0045349B">
        <w:t>It is unlawful for ALPR systems to be used: (Sec. 3)</w:t>
      </w:r>
    </w:p>
    <w:p w14:paraId="3561345C" w14:textId="77777777" w:rsidR="0042227D" w:rsidRDefault="0042227D" w:rsidP="0042227D">
      <w:pPr>
        <w:pStyle w:val="ListParagraph"/>
        <w:numPr>
          <w:ilvl w:val="2"/>
          <w:numId w:val="1"/>
        </w:numPr>
      </w:pPr>
      <w:r w:rsidRPr="0045349B">
        <w:t>For immigration investigation or enforcement in accordance with RCW 10.93.160; (Sec. 3(3))</w:t>
      </w:r>
    </w:p>
    <w:p w14:paraId="6D227FB1" w14:textId="77777777" w:rsidR="0042227D" w:rsidRDefault="0042227D" w:rsidP="0042227D">
      <w:pPr>
        <w:pStyle w:val="ListParagraph"/>
        <w:numPr>
          <w:ilvl w:val="2"/>
          <w:numId w:val="1"/>
        </w:numPr>
      </w:pPr>
      <w:r w:rsidRPr="0045349B">
        <w:t>For any “protected health care services under Ch. 7.115 RCW”; and (Sec. 3(3))</w:t>
      </w:r>
    </w:p>
    <w:p w14:paraId="5F899412" w14:textId="77777777" w:rsidR="0042227D" w:rsidRDefault="0042227D" w:rsidP="0042227D">
      <w:pPr>
        <w:pStyle w:val="ListParagraph"/>
        <w:numPr>
          <w:ilvl w:val="3"/>
          <w:numId w:val="1"/>
        </w:numPr>
      </w:pPr>
      <w:r w:rsidRPr="0045349B">
        <w:t xml:space="preserve">“Protected health care services” is defined in RCW 7.115.010(4) as gender-affirming treatment and reproductive health care services that are lawful in </w:t>
      </w:r>
      <w:proofErr w:type="gramStart"/>
      <w:r w:rsidRPr="0045349B">
        <w:t>WA;</w:t>
      </w:r>
      <w:proofErr w:type="gramEnd"/>
    </w:p>
    <w:p w14:paraId="3C027099" w14:textId="77777777" w:rsidR="0042227D" w:rsidRDefault="0042227D" w:rsidP="0042227D">
      <w:pPr>
        <w:pStyle w:val="ListParagraph"/>
        <w:numPr>
          <w:ilvl w:val="3"/>
          <w:numId w:val="1"/>
        </w:numPr>
      </w:pPr>
      <w:r w:rsidRPr="0045349B">
        <w:t>“</w:t>
      </w:r>
      <w:proofErr w:type="gramStart"/>
      <w:r w:rsidRPr="0045349B">
        <w:t>gender</w:t>
      </w:r>
      <w:proofErr w:type="gramEnd"/>
      <w:r w:rsidRPr="0045349B">
        <w:t xml:space="preserve"> affirming treatment” is further defined by RCW 7.115.010(3) as services or products including: “evaluation and treatments for gender dysphoria, gender-affirming hormone therapy, and gender-affirming surgical procedures</w:t>
      </w:r>
      <w:proofErr w:type="gramStart"/>
      <w:r w:rsidRPr="0045349B">
        <w:t>”;</w:t>
      </w:r>
      <w:proofErr w:type="gramEnd"/>
    </w:p>
    <w:p w14:paraId="44A6734D" w14:textId="77777777" w:rsidR="0042227D" w:rsidRDefault="0042227D" w:rsidP="0042227D">
      <w:pPr>
        <w:pStyle w:val="ListParagraph"/>
        <w:numPr>
          <w:ilvl w:val="3"/>
          <w:numId w:val="1"/>
        </w:numPr>
      </w:pPr>
      <w:r w:rsidRPr="0045349B">
        <w:t>“</w:t>
      </w:r>
      <w:proofErr w:type="gramStart"/>
      <w:r w:rsidRPr="0045349B">
        <w:t>reproductive</w:t>
      </w:r>
      <w:proofErr w:type="gramEnd"/>
      <w:r w:rsidRPr="0045349B">
        <w:t xml:space="preserve"> health care services” is further defined by RCW 7.115.010(5) as services related to: “the human reproductive system including, but not limited to, all services, care, and products relating to pregnancy, assisted reproduction, </w:t>
      </w:r>
      <w:r w:rsidRPr="0045349B">
        <w:lastRenderedPageBreak/>
        <w:t>contraception, miscarriage management, or the termination of a pregnancy, including self-managed terminations.”</w:t>
      </w:r>
    </w:p>
    <w:p w14:paraId="40A22305" w14:textId="77777777" w:rsidR="0042227D" w:rsidRDefault="0042227D" w:rsidP="0042227D">
      <w:pPr>
        <w:pStyle w:val="ListParagraph"/>
        <w:numPr>
          <w:ilvl w:val="2"/>
          <w:numId w:val="1"/>
        </w:numPr>
      </w:pPr>
      <w:r w:rsidRPr="0045349B">
        <w:t>To track or monitor activity protected by the state or federal constitutions (Sec. 3(3)).</w:t>
      </w:r>
    </w:p>
    <w:p w14:paraId="27264CB0" w14:textId="77777777" w:rsidR="0042227D" w:rsidRDefault="0042227D" w:rsidP="0042227D">
      <w:pPr>
        <w:pStyle w:val="ListParagraph"/>
        <w:numPr>
          <w:ilvl w:val="1"/>
          <w:numId w:val="1"/>
        </w:numPr>
      </w:pPr>
      <w:r w:rsidRPr="0045349B">
        <w:t>It is unlawful to collect ALPR data “on the premises or immediate surroundings or access to or from facilities that provide protected health care, as described in Chapter 7.115 RCW, or at facilities conducting an immigration matter as defined in RCW 19.154.020, elementary and secondary schools, places of worship, courts, or foodbanks. (Sec. 3(4)(a))</w:t>
      </w:r>
    </w:p>
    <w:p w14:paraId="0358B590" w14:textId="77777777" w:rsidR="0042227D" w:rsidRDefault="0042227D" w:rsidP="0042227D">
      <w:pPr>
        <w:pStyle w:val="ListParagraph"/>
        <w:numPr>
          <w:ilvl w:val="2"/>
          <w:numId w:val="1"/>
        </w:numPr>
      </w:pPr>
      <w:r w:rsidRPr="0045349B">
        <w:t>“Facilities” is defined by the bill as only the building(s) used for the purpose described and any immediately adjacent parking lots that are primarily or exclusively used for that purpose. (Sec. 3(4)(b))</w:t>
      </w:r>
    </w:p>
    <w:p w14:paraId="7D39FC92" w14:textId="77777777" w:rsidR="0042227D" w:rsidRDefault="0042227D" w:rsidP="0042227D">
      <w:pPr>
        <w:pStyle w:val="ListParagraph"/>
        <w:numPr>
          <w:ilvl w:val="2"/>
          <w:numId w:val="1"/>
        </w:numPr>
      </w:pPr>
      <w:r w:rsidRPr="0045349B">
        <w:t>The bill does not define the terms “immediate surroundings”, “immediately adjacent”, or “primarily or exclusively”, so the plain language of the terms and their dictionary definitions would typically apply</w:t>
      </w:r>
    </w:p>
    <w:p w14:paraId="349B7423" w14:textId="77777777" w:rsidR="0042227D" w:rsidRDefault="0042227D" w:rsidP="0042227D">
      <w:pPr>
        <w:pStyle w:val="ListParagraph"/>
        <w:numPr>
          <w:ilvl w:val="2"/>
          <w:numId w:val="1"/>
        </w:numPr>
      </w:pPr>
      <w:r w:rsidRPr="0045349B">
        <w:t>“immediately” means “without interval of time” or “in direct connection or relation”.  IMMEDIATELY Definition &amp; Meaning - Merriam-Webster</w:t>
      </w:r>
    </w:p>
    <w:p w14:paraId="4AC3295F" w14:textId="77777777" w:rsidR="0042227D" w:rsidRDefault="0042227D" w:rsidP="0042227D">
      <w:pPr>
        <w:pStyle w:val="ListParagraph"/>
        <w:numPr>
          <w:ilvl w:val="2"/>
          <w:numId w:val="1"/>
        </w:numPr>
      </w:pPr>
      <w:r w:rsidRPr="0045349B">
        <w:t>“surrounding” means “the circumstances, conditions or objects by which one is surrounded”; “surround” means “to include on all sides, or to constitute part of the environment of, or to extend around the margin or edge of.” SURROUND Definition &amp; Meaning - Merriam-Webster</w:t>
      </w:r>
    </w:p>
    <w:p w14:paraId="3C17065E" w14:textId="77777777" w:rsidR="0042227D" w:rsidRDefault="0042227D" w:rsidP="0042227D">
      <w:pPr>
        <w:pStyle w:val="ListParagraph"/>
        <w:numPr>
          <w:ilvl w:val="2"/>
          <w:numId w:val="1"/>
        </w:numPr>
      </w:pPr>
      <w:r w:rsidRPr="0045349B">
        <w:t>“adjacent” means: “(a) having a common endpoint or border; (b) not distant: nearby; (c) immediately preceding or following with nothing similar intervening”.  ADJACENT Definition &amp; Meaning - Merriam-Webster</w:t>
      </w:r>
    </w:p>
    <w:p w14:paraId="5A5C0A5B" w14:textId="77777777" w:rsidR="0042227D" w:rsidRDefault="0042227D" w:rsidP="0042227D">
      <w:pPr>
        <w:pStyle w:val="ListParagraph"/>
        <w:numPr>
          <w:ilvl w:val="2"/>
          <w:numId w:val="1"/>
        </w:numPr>
      </w:pPr>
      <w:r w:rsidRPr="0045349B">
        <w:t>“primarily” means “for the most part: chiefly”</w:t>
      </w:r>
    </w:p>
    <w:p w14:paraId="18062678" w14:textId="77777777" w:rsidR="0042227D" w:rsidRDefault="0042227D" w:rsidP="0042227D">
      <w:pPr>
        <w:pStyle w:val="ListParagraph"/>
        <w:numPr>
          <w:ilvl w:val="2"/>
          <w:numId w:val="1"/>
        </w:numPr>
      </w:pPr>
      <w:r w:rsidRPr="0045349B">
        <w:t>“exclusively” means “single, sole; whole, undivided”</w:t>
      </w:r>
    </w:p>
    <w:p w14:paraId="3EFE822A" w14:textId="77777777" w:rsidR="0042227D" w:rsidRDefault="0042227D" w:rsidP="0042227D">
      <w:pPr>
        <w:pStyle w:val="ListParagraph"/>
        <w:numPr>
          <w:ilvl w:val="2"/>
          <w:numId w:val="1"/>
        </w:numPr>
      </w:pPr>
      <w:r w:rsidRPr="0045349B">
        <w:t>“Immigration matter” is defined in RCW 19.154.020 as “any proceeding . . . affecting the immigrant, or citizenship status of any person arising under [federal law by any] entity or agency having jurisdiction….”</w:t>
      </w:r>
    </w:p>
    <w:p w14:paraId="44D4646B" w14:textId="77777777" w:rsidR="0042227D" w:rsidRDefault="0042227D" w:rsidP="0042227D">
      <w:pPr>
        <w:pStyle w:val="ListParagraph"/>
        <w:numPr>
          <w:ilvl w:val="2"/>
          <w:numId w:val="1"/>
        </w:numPr>
      </w:pPr>
      <w:r w:rsidRPr="0045349B">
        <w:t xml:space="preserve">Given both the definitions in the bill and the dictionary definitions of other terms, I interpret this provision to mean that </w:t>
      </w:r>
      <w:r>
        <w:t>we</w:t>
      </w:r>
      <w:r w:rsidRPr="0045349B">
        <w:t xml:space="preserve"> cannot place or operate ALPRs in an area that is either on the premises of any building or its attached parking lot, or in an area that records ingress/egress </w:t>
      </w:r>
      <w:r w:rsidRPr="0045349B">
        <w:lastRenderedPageBreak/>
        <w:t>from that building, or in the areas that are directly around that building, if that building is used to provide gender affirming treatment, reproductive health care services, any action or proceeding concerning immigration, or is an elementary or secondary school, a place of worship, a court, or a foodbank.</w:t>
      </w:r>
    </w:p>
    <w:p w14:paraId="231D2A93" w14:textId="77777777" w:rsidR="0042227D" w:rsidRDefault="0042227D" w:rsidP="0042227D">
      <w:pPr>
        <w:pStyle w:val="ListParagraph"/>
        <w:numPr>
          <w:ilvl w:val="1"/>
          <w:numId w:val="1"/>
        </w:numPr>
      </w:pPr>
      <w:r w:rsidRPr="0045349B">
        <w:t>It is unlawful to disclose, share, or permit access to ALPR data except as required in a judicial proceeding (Sec. 5(1)(a))</w:t>
      </w:r>
    </w:p>
    <w:p w14:paraId="30F70ABE" w14:textId="77777777" w:rsidR="0042227D" w:rsidRDefault="0042227D" w:rsidP="0042227D">
      <w:pPr>
        <w:pStyle w:val="ListParagraph"/>
        <w:numPr>
          <w:ilvl w:val="1"/>
          <w:numId w:val="1"/>
        </w:numPr>
      </w:pPr>
      <w:r w:rsidRPr="0045349B">
        <w:t>It is unlawful to provide any other entity—other than another state or local agency authorized to collect ALPR data—with direct access to the ALPR system. (Sec. 5(b))</w:t>
      </w:r>
    </w:p>
    <w:p w14:paraId="1063DD7D" w14:textId="77777777" w:rsidR="0042227D" w:rsidRDefault="0042227D" w:rsidP="0042227D">
      <w:pPr>
        <w:pStyle w:val="ListParagraph"/>
        <w:numPr>
          <w:ilvl w:val="1"/>
          <w:numId w:val="1"/>
        </w:numPr>
      </w:pPr>
      <w:r w:rsidRPr="0045349B">
        <w:t>A vendor providing ALPR system services may access the system solely to the extent necessary to fulfill agency-authorized purpose. (Sec. 5(1)(b))</w:t>
      </w:r>
    </w:p>
    <w:p w14:paraId="6234BC4E" w14:textId="77777777" w:rsidR="0042227D" w:rsidRDefault="0042227D" w:rsidP="0042227D">
      <w:pPr>
        <w:pStyle w:val="ListParagraph"/>
        <w:numPr>
          <w:ilvl w:val="1"/>
          <w:numId w:val="1"/>
        </w:numPr>
      </w:pPr>
      <w:r w:rsidRPr="0045349B">
        <w:t>It is unlawful for an agency to sell, lease, rent, or purchase ALPR data or audit trail data. (Sec. 5(3)).</w:t>
      </w:r>
    </w:p>
    <w:p w14:paraId="1C28E982" w14:textId="77777777" w:rsidR="0042227D" w:rsidRDefault="0042227D" w:rsidP="0042227D">
      <w:pPr>
        <w:pStyle w:val="ListParagraph"/>
      </w:pPr>
    </w:p>
    <w:p w14:paraId="6892ECA7" w14:textId="77777777" w:rsidR="0042227D" w:rsidRDefault="0042227D" w:rsidP="0042227D">
      <w:pPr>
        <w:pStyle w:val="ListParagraph"/>
        <w:numPr>
          <w:ilvl w:val="0"/>
          <w:numId w:val="1"/>
        </w:numPr>
      </w:pPr>
      <w:r w:rsidRPr="00EF0C42">
        <w:rPr>
          <w:u w:val="single"/>
        </w:rPr>
        <w:t>Criminal Penalties</w:t>
      </w:r>
      <w:r w:rsidRPr="0045349B">
        <w:t xml:space="preserve">. </w:t>
      </w:r>
    </w:p>
    <w:p w14:paraId="678DA6FF" w14:textId="77777777" w:rsidR="0042227D" w:rsidRDefault="0042227D" w:rsidP="0042227D">
      <w:pPr>
        <w:pStyle w:val="ListParagraph"/>
        <w:numPr>
          <w:ilvl w:val="1"/>
          <w:numId w:val="1"/>
        </w:numPr>
      </w:pPr>
      <w:r w:rsidRPr="0045349B">
        <w:t xml:space="preserve">It is a gross misdemeanor </w:t>
      </w:r>
      <w:proofErr w:type="gramStart"/>
      <w:r w:rsidRPr="0045349B">
        <w:t>to:  (</w:t>
      </w:r>
      <w:proofErr w:type="gramEnd"/>
      <w:r w:rsidRPr="0045349B">
        <w:t>Sec. 9)</w:t>
      </w:r>
    </w:p>
    <w:p w14:paraId="404C66CB" w14:textId="77777777" w:rsidR="0042227D" w:rsidRDefault="0042227D" w:rsidP="0042227D">
      <w:pPr>
        <w:pStyle w:val="ListParagraph"/>
        <w:numPr>
          <w:ilvl w:val="2"/>
          <w:numId w:val="1"/>
        </w:numPr>
      </w:pPr>
      <w:r w:rsidRPr="0045349B">
        <w:t>Willfully and intentionally query, access, or use an ALPR system for a purpose not specifically authorized under the bill; or</w:t>
      </w:r>
    </w:p>
    <w:p w14:paraId="4E1051A3" w14:textId="77777777" w:rsidR="0042227D" w:rsidRDefault="0042227D" w:rsidP="0042227D">
      <w:pPr>
        <w:pStyle w:val="ListParagraph"/>
        <w:numPr>
          <w:ilvl w:val="2"/>
          <w:numId w:val="1"/>
        </w:numPr>
      </w:pPr>
      <w:r w:rsidRPr="0045349B">
        <w:t>Willfully and intentionally retain, sell, share, permit access, or disseminate ALPR system data or audit trail data in violation of the bill.</w:t>
      </w:r>
    </w:p>
    <w:p w14:paraId="6318B686" w14:textId="77777777" w:rsidR="0042227D" w:rsidRDefault="0042227D" w:rsidP="0042227D">
      <w:pPr>
        <w:pStyle w:val="ListParagraph"/>
        <w:numPr>
          <w:ilvl w:val="1"/>
          <w:numId w:val="1"/>
        </w:numPr>
      </w:pPr>
      <w:r w:rsidRPr="0045349B">
        <w:t>Violating any other provision of the bill does not carry the risk of criminal penalties.</w:t>
      </w:r>
    </w:p>
    <w:p w14:paraId="461F2A7D" w14:textId="77777777" w:rsidR="0042227D" w:rsidRDefault="0042227D" w:rsidP="0042227D">
      <w:pPr>
        <w:pStyle w:val="ListParagraph"/>
      </w:pPr>
    </w:p>
    <w:p w14:paraId="34ADE842" w14:textId="77777777" w:rsidR="0042227D" w:rsidRDefault="0042227D" w:rsidP="0042227D">
      <w:pPr>
        <w:pStyle w:val="ListParagraph"/>
        <w:numPr>
          <w:ilvl w:val="0"/>
          <w:numId w:val="1"/>
        </w:numPr>
      </w:pPr>
      <w:r w:rsidRPr="00EF0C42">
        <w:rPr>
          <w:u w:val="single"/>
        </w:rPr>
        <w:t>Civil Remedy</w:t>
      </w:r>
      <w:r w:rsidRPr="0045349B">
        <w:t xml:space="preserve">. A person who is injured by any violation of the bill may sue to recover equitable, declaratory relief, or injunctive relief with respect to the violation; and recover all other appropriate relief, including monetary damages. The court may </w:t>
      </w:r>
      <w:proofErr w:type="gramStart"/>
      <w:r w:rsidRPr="0045349B">
        <w:t>award to</w:t>
      </w:r>
      <w:proofErr w:type="gramEnd"/>
      <w:r w:rsidRPr="0045349B">
        <w:t xml:space="preserve"> a person aggrieved by a violation of this bill who prevails in an action brought under the provisions of this bill their costs of the action, including reasonable attorneys’ fees.</w:t>
      </w:r>
    </w:p>
    <w:p w14:paraId="386C64DD" w14:textId="77777777" w:rsidR="0042227D" w:rsidRDefault="0042227D"/>
    <w:sectPr w:rsidR="00422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359FE"/>
    <w:multiLevelType w:val="hybridMultilevel"/>
    <w:tmpl w:val="57C82C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238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D"/>
    <w:rsid w:val="002D5F37"/>
    <w:rsid w:val="0042227D"/>
    <w:rsid w:val="004A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52E7"/>
  <w15:chartTrackingRefBased/>
  <w15:docId w15:val="{F24A2E79-2120-4496-9EE4-A34B986A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27D"/>
  </w:style>
  <w:style w:type="paragraph" w:styleId="Heading1">
    <w:name w:val="heading 1"/>
    <w:basedOn w:val="Normal"/>
    <w:next w:val="Normal"/>
    <w:link w:val="Heading1Char"/>
    <w:uiPriority w:val="9"/>
    <w:qFormat/>
    <w:rsid w:val="00422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2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2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2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2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2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D"/>
    <w:rPr>
      <w:rFonts w:eastAsiaTheme="majorEastAsia" w:cstheme="majorBidi"/>
      <w:color w:val="272727" w:themeColor="text1" w:themeTint="D8"/>
    </w:rPr>
  </w:style>
  <w:style w:type="paragraph" w:styleId="Title">
    <w:name w:val="Title"/>
    <w:basedOn w:val="Normal"/>
    <w:next w:val="Normal"/>
    <w:link w:val="TitleChar"/>
    <w:uiPriority w:val="10"/>
    <w:qFormat/>
    <w:rsid w:val="00422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D"/>
    <w:pPr>
      <w:spacing w:before="160"/>
      <w:jc w:val="center"/>
    </w:pPr>
    <w:rPr>
      <w:i/>
      <w:iCs/>
      <w:color w:val="404040" w:themeColor="text1" w:themeTint="BF"/>
    </w:rPr>
  </w:style>
  <w:style w:type="character" w:customStyle="1" w:styleId="QuoteChar">
    <w:name w:val="Quote Char"/>
    <w:basedOn w:val="DefaultParagraphFont"/>
    <w:link w:val="Quote"/>
    <w:uiPriority w:val="29"/>
    <w:rsid w:val="0042227D"/>
    <w:rPr>
      <w:i/>
      <w:iCs/>
      <w:color w:val="404040" w:themeColor="text1" w:themeTint="BF"/>
    </w:rPr>
  </w:style>
  <w:style w:type="paragraph" w:styleId="ListParagraph">
    <w:name w:val="List Paragraph"/>
    <w:basedOn w:val="Normal"/>
    <w:uiPriority w:val="34"/>
    <w:qFormat/>
    <w:rsid w:val="0042227D"/>
    <w:pPr>
      <w:ind w:left="720"/>
      <w:contextualSpacing/>
    </w:pPr>
  </w:style>
  <w:style w:type="character" w:styleId="IntenseEmphasis">
    <w:name w:val="Intense Emphasis"/>
    <w:basedOn w:val="DefaultParagraphFont"/>
    <w:uiPriority w:val="21"/>
    <w:qFormat/>
    <w:rsid w:val="0042227D"/>
    <w:rPr>
      <w:i/>
      <w:iCs/>
      <w:color w:val="0F4761" w:themeColor="accent1" w:themeShade="BF"/>
    </w:rPr>
  </w:style>
  <w:style w:type="paragraph" w:styleId="IntenseQuote">
    <w:name w:val="Intense Quote"/>
    <w:basedOn w:val="Normal"/>
    <w:next w:val="Normal"/>
    <w:link w:val="IntenseQuoteChar"/>
    <w:uiPriority w:val="30"/>
    <w:qFormat/>
    <w:rsid w:val="00422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27D"/>
    <w:rPr>
      <w:i/>
      <w:iCs/>
      <w:color w:val="0F4761" w:themeColor="accent1" w:themeShade="BF"/>
    </w:rPr>
  </w:style>
  <w:style w:type="character" w:styleId="IntenseReference">
    <w:name w:val="Intense Reference"/>
    <w:basedOn w:val="DefaultParagraphFont"/>
    <w:uiPriority w:val="32"/>
    <w:qFormat/>
    <w:rsid w:val="004222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2758</Words>
  <Characters>14340</Characters>
  <Application>Microsoft Office Word</Application>
  <DocSecurity>0</DocSecurity>
  <Lines>293</Lines>
  <Paragraphs>100</Paragraphs>
  <ScaleCrop>false</ScaleCrop>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McMahan</dc:creator>
  <cp:keywords/>
  <dc:description/>
  <cp:lastModifiedBy>James McMahan</cp:lastModifiedBy>
  <cp:revision>2</cp:revision>
  <dcterms:created xsi:type="dcterms:W3CDTF">2026-04-07T18:41:00Z</dcterms:created>
  <dcterms:modified xsi:type="dcterms:W3CDTF">2026-04-07T20:00:00Z</dcterms:modified>
</cp:coreProperties>
</file>